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60F9" w:rsidRDefault="009060F9"/>
    <w:p w:rsidR="002B3CE8" w:rsidRDefault="002B3CE8"/>
    <w:p w:rsidR="002B3CE8" w:rsidRDefault="002B3CE8"/>
    <w:tbl>
      <w:tblPr>
        <w:tblW w:w="9183" w:type="dxa"/>
        <w:tblInd w:w="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133"/>
        <w:gridCol w:w="3050"/>
      </w:tblGrid>
      <w:tr w:rsidR="002B3CE8" w:rsidRPr="00D4627B" w:rsidTr="001A5D53">
        <w:trPr>
          <w:trHeight w:val="841"/>
        </w:trPr>
        <w:tc>
          <w:tcPr>
            <w:tcW w:w="9183" w:type="dxa"/>
            <w:gridSpan w:val="2"/>
          </w:tcPr>
          <w:p w:rsidR="000348F9" w:rsidRPr="000348F9" w:rsidRDefault="000348F9" w:rsidP="000348F9">
            <w:pPr>
              <w:autoSpaceDE w:val="0"/>
              <w:autoSpaceDN w:val="0"/>
              <w:adjustRightInd w:val="0"/>
              <w:spacing w:after="0" w:line="240" w:lineRule="auto"/>
              <w:jc w:val="center"/>
              <w:rPr>
                <w:rFonts w:ascii="Bookman Old Style" w:hAnsi="Bookman Old Style" w:cs="BookmanOldStyle-Bold"/>
                <w:b/>
                <w:bCs/>
                <w:color w:val="753A10"/>
                <w:sz w:val="28"/>
                <w:szCs w:val="28"/>
              </w:rPr>
            </w:pPr>
            <w:r w:rsidRPr="000348F9">
              <w:rPr>
                <w:rFonts w:ascii="Bookman Old Style" w:hAnsi="Bookman Old Style" w:cs="BookmanOldStyle-Bold"/>
                <w:b/>
                <w:bCs/>
                <w:color w:val="753A10"/>
                <w:sz w:val="28"/>
                <w:szCs w:val="28"/>
              </w:rPr>
              <w:t>El Magisterio de la provincia de Santa Cruz de Tenerife</w:t>
            </w:r>
          </w:p>
          <w:p w:rsidR="000348F9" w:rsidRPr="000348F9" w:rsidRDefault="000348F9" w:rsidP="000348F9">
            <w:pPr>
              <w:autoSpaceDE w:val="0"/>
              <w:autoSpaceDN w:val="0"/>
              <w:adjustRightInd w:val="0"/>
              <w:spacing w:after="0" w:line="240" w:lineRule="auto"/>
              <w:jc w:val="center"/>
              <w:rPr>
                <w:rFonts w:ascii="Bookman Old Style" w:hAnsi="Bookman Old Style" w:cs="BookmanOldStyle-Bold"/>
                <w:b/>
                <w:bCs/>
                <w:color w:val="753A10"/>
                <w:sz w:val="28"/>
                <w:szCs w:val="28"/>
              </w:rPr>
            </w:pPr>
            <w:r w:rsidRPr="000348F9">
              <w:rPr>
                <w:rFonts w:ascii="Bookman Old Style" w:hAnsi="Bookman Old Style" w:cs="BookmanOldStyle-Bold"/>
                <w:b/>
                <w:bCs/>
                <w:color w:val="753A10"/>
                <w:sz w:val="28"/>
                <w:szCs w:val="28"/>
              </w:rPr>
              <w:t>en torno a 1936: entre la II República y el nacionalcatolicismo</w:t>
            </w:r>
          </w:p>
          <w:p w:rsidR="00B33391" w:rsidRDefault="000348F9" w:rsidP="000348F9">
            <w:pPr>
              <w:spacing w:after="0" w:line="240" w:lineRule="auto"/>
              <w:jc w:val="center"/>
              <w:rPr>
                <w:rFonts w:ascii="Bookman Old Style" w:hAnsi="Bookman Old Style" w:cs="BookmanOldStyle-Bold"/>
                <w:b/>
                <w:bCs/>
                <w:color w:val="753A10"/>
                <w:sz w:val="28"/>
                <w:szCs w:val="28"/>
              </w:rPr>
            </w:pPr>
            <w:r w:rsidRPr="000348F9">
              <w:rPr>
                <w:rFonts w:ascii="Bookman Old Style" w:hAnsi="Bookman Old Style" w:cs="BookmanOldStyle-Bold"/>
                <w:b/>
                <w:bCs/>
                <w:color w:val="753A10"/>
                <w:sz w:val="28"/>
                <w:szCs w:val="28"/>
              </w:rPr>
              <w:t>franquista</w:t>
            </w:r>
          </w:p>
          <w:p w:rsidR="000348F9" w:rsidRPr="00D4627B" w:rsidRDefault="000348F9" w:rsidP="000348F9">
            <w:pPr>
              <w:spacing w:after="0" w:line="240" w:lineRule="auto"/>
              <w:jc w:val="center"/>
              <w:rPr>
                <w:rFonts w:ascii="Bookman Old Style" w:hAnsi="Bookman Old Style"/>
              </w:rPr>
            </w:pPr>
          </w:p>
        </w:tc>
      </w:tr>
      <w:tr w:rsidR="002B3CE8" w:rsidRPr="00D4627B" w:rsidTr="001A5D53">
        <w:trPr>
          <w:trHeight w:val="1314"/>
        </w:trPr>
        <w:tc>
          <w:tcPr>
            <w:tcW w:w="6135" w:type="dxa"/>
          </w:tcPr>
          <w:p w:rsidR="00167911" w:rsidRPr="000348F9" w:rsidRDefault="000348F9" w:rsidP="00D00097">
            <w:pPr>
              <w:spacing w:after="0" w:line="240" w:lineRule="auto"/>
              <w:jc w:val="both"/>
              <w:rPr>
                <w:rFonts w:ascii="Bookman Old Style" w:hAnsi="Bookman Old Style"/>
                <w:b/>
                <w:bCs/>
                <w:iCs/>
                <w:sz w:val="22"/>
                <w:szCs w:val="22"/>
                <w:lang w:val="en-GB"/>
              </w:rPr>
            </w:pPr>
            <w:r w:rsidRPr="000348F9">
              <w:rPr>
                <w:rFonts w:ascii="Bookman Old Style" w:hAnsi="Bookman Old Style" w:cs="BookmanOldStyle"/>
                <w:b/>
                <w:sz w:val="22"/>
                <w:szCs w:val="22"/>
              </w:rPr>
              <w:t>Olegario Negrín Fajardo</w:t>
            </w:r>
          </w:p>
          <w:p w:rsidR="000348F9" w:rsidRDefault="000348F9" w:rsidP="000348F9">
            <w:pPr>
              <w:autoSpaceDE w:val="0"/>
              <w:autoSpaceDN w:val="0"/>
              <w:adjustRightInd w:val="0"/>
              <w:spacing w:after="0" w:line="240" w:lineRule="auto"/>
              <w:rPr>
                <w:rFonts w:ascii="Bookman Old Style" w:hAnsi="Bookman Old Style" w:cs="BookmanOldStyle"/>
                <w:color w:val="000000"/>
                <w:sz w:val="22"/>
                <w:szCs w:val="22"/>
              </w:rPr>
            </w:pPr>
            <w:r w:rsidRPr="000348F9">
              <w:rPr>
                <w:rFonts w:ascii="Bookman Old Style" w:hAnsi="Bookman Old Style" w:cs="BookmanOldStyle"/>
                <w:color w:val="000000"/>
                <w:sz w:val="22"/>
                <w:szCs w:val="22"/>
              </w:rPr>
              <w:t xml:space="preserve">Universidad Nacional de Educación a Distancia (Madrid, España). </w:t>
            </w:r>
          </w:p>
          <w:p w:rsidR="000348F9" w:rsidRDefault="000348F9" w:rsidP="000348F9">
            <w:pPr>
              <w:autoSpaceDE w:val="0"/>
              <w:autoSpaceDN w:val="0"/>
              <w:adjustRightInd w:val="0"/>
              <w:spacing w:after="0" w:line="240" w:lineRule="auto"/>
              <w:rPr>
                <w:rFonts w:ascii="Bookman Old Style" w:hAnsi="Bookman Old Style" w:cs="BookmanOldStyle"/>
                <w:color w:val="000000"/>
                <w:sz w:val="22"/>
                <w:szCs w:val="22"/>
              </w:rPr>
            </w:pPr>
            <w:r w:rsidRPr="000348F9">
              <w:rPr>
                <w:rFonts w:ascii="Bookman Old Style" w:hAnsi="Bookman Old Style" w:cs="BookmanOldStyle"/>
                <w:color w:val="000000"/>
                <w:sz w:val="22"/>
                <w:szCs w:val="22"/>
              </w:rPr>
              <w:t xml:space="preserve">Orcid: </w:t>
            </w:r>
            <w:hyperlink r:id="rId5" w:history="1">
              <w:r w:rsidRPr="003C478F">
                <w:rPr>
                  <w:rStyle w:val="Hipervnculo"/>
                  <w:rFonts w:ascii="Bookman Old Style" w:hAnsi="Bookman Old Style" w:cs="BookmanOldStyle"/>
                  <w:sz w:val="22"/>
                  <w:szCs w:val="22"/>
                </w:rPr>
                <w:t>https://orcid</w:t>
              </w:r>
            </w:hyperlink>
            <w:r w:rsidRPr="000348F9">
              <w:rPr>
                <w:rFonts w:ascii="Bookman Old Style" w:hAnsi="Bookman Old Style" w:cs="BookmanOldStyle"/>
                <w:color w:val="753A10"/>
                <w:sz w:val="22"/>
                <w:szCs w:val="22"/>
              </w:rPr>
              <w:t>.org/0000-0003-1191-6850</w:t>
            </w:r>
            <w:r w:rsidRPr="000348F9">
              <w:rPr>
                <w:rFonts w:ascii="Bookman Old Style" w:hAnsi="Bookman Old Style" w:cs="BookmanOldStyle"/>
                <w:color w:val="000000"/>
                <w:sz w:val="22"/>
                <w:szCs w:val="22"/>
              </w:rPr>
              <w:t>.</w:t>
            </w:r>
          </w:p>
          <w:p w:rsidR="000348F9" w:rsidRPr="000348F9" w:rsidRDefault="000348F9" w:rsidP="000348F9">
            <w:pPr>
              <w:autoSpaceDE w:val="0"/>
              <w:autoSpaceDN w:val="0"/>
              <w:adjustRightInd w:val="0"/>
              <w:spacing w:after="0" w:line="240" w:lineRule="auto"/>
              <w:rPr>
                <w:rFonts w:ascii="Bookman Old Style" w:hAnsi="Bookman Old Style" w:cs="BookmanOldStyle"/>
                <w:color w:val="753A10"/>
                <w:sz w:val="22"/>
                <w:szCs w:val="22"/>
              </w:rPr>
            </w:pPr>
            <w:r w:rsidRPr="000348F9">
              <w:rPr>
                <w:rFonts w:ascii="Bookman Old Style" w:hAnsi="Bookman Old Style" w:cs="BookmanOldStyle"/>
                <w:color w:val="000000"/>
                <w:sz w:val="22"/>
                <w:szCs w:val="22"/>
              </w:rPr>
              <w:t xml:space="preserve">C. e.: </w:t>
            </w:r>
            <w:r w:rsidRPr="000348F9">
              <w:rPr>
                <w:rFonts w:ascii="Bookman Old Style" w:hAnsi="Bookman Old Style" w:cs="BookmanOldStyle"/>
                <w:color w:val="753A10"/>
                <w:sz w:val="22"/>
                <w:szCs w:val="22"/>
              </w:rPr>
              <w:t>negrinfajardo@gmail.com</w:t>
            </w:r>
          </w:p>
          <w:p w:rsidR="00295DC7" w:rsidRPr="007241BC" w:rsidRDefault="00295DC7" w:rsidP="000348F9">
            <w:pPr>
              <w:autoSpaceDE w:val="0"/>
              <w:autoSpaceDN w:val="0"/>
              <w:adjustRightInd w:val="0"/>
              <w:spacing w:after="0" w:line="240" w:lineRule="auto"/>
              <w:jc w:val="both"/>
              <w:rPr>
                <w:rFonts w:ascii="Bookman Old Style" w:hAnsi="Bookman Old Style"/>
              </w:rPr>
            </w:pPr>
          </w:p>
        </w:tc>
        <w:tc>
          <w:tcPr>
            <w:tcW w:w="3048" w:type="dxa"/>
            <w:vMerge w:val="restart"/>
          </w:tcPr>
          <w:p w:rsidR="002B3CE8" w:rsidRPr="00D4627B" w:rsidRDefault="00D4627B" w:rsidP="00CD2725">
            <w:pPr>
              <w:jc w:val="center"/>
              <w:rPr>
                <w:rFonts w:ascii="Bookman Old Style" w:hAnsi="Bookman Old Style"/>
              </w:rPr>
            </w:pPr>
            <w:r w:rsidRPr="00D4627B">
              <w:rPr>
                <w:rFonts w:ascii="Bookman Old Style" w:hAnsi="Bookman Old Style"/>
                <w:noProof/>
                <w:lang w:eastAsia="es-ES"/>
              </w:rPr>
              <w:drawing>
                <wp:inline distT="0" distB="0" distL="0" distR="0" wp14:anchorId="13A5AF17" wp14:editId="563AC259">
                  <wp:extent cx="1838325" cy="2571750"/>
                  <wp:effectExtent l="0" t="0" r="9525" b="0"/>
                  <wp:docPr id="3" name="Imagen 3" descr="C:\Users\jmrod\AppData\Local\Temp\1362aa00-1fde-4b5a-9484-2b8421f44494_ilovepdf_pages-to-jpg (1).zip.494\portada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mrod\AppData\Local\Temp\1362aa00-1fde-4b5a-9484-2b8421f44494_ilovepdf_pages-to-jpg (1).zip.494\portada_page-000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82195" cy="2633123"/>
                          </a:xfrm>
                          <a:prstGeom prst="rect">
                            <a:avLst/>
                          </a:prstGeom>
                          <a:noFill/>
                          <a:ln>
                            <a:noFill/>
                          </a:ln>
                        </pic:spPr>
                      </pic:pic>
                    </a:graphicData>
                  </a:graphic>
                </wp:inline>
              </w:drawing>
            </w:r>
          </w:p>
        </w:tc>
      </w:tr>
      <w:tr w:rsidR="002B3CE8" w:rsidRPr="00D4627B" w:rsidTr="001A5D53">
        <w:trPr>
          <w:trHeight w:val="1031"/>
        </w:trPr>
        <w:tc>
          <w:tcPr>
            <w:tcW w:w="6135" w:type="dxa"/>
          </w:tcPr>
          <w:p w:rsidR="002B3CE8" w:rsidRPr="007241BC" w:rsidRDefault="002B3CE8" w:rsidP="00D00097">
            <w:pPr>
              <w:jc w:val="both"/>
              <w:rPr>
                <w:rFonts w:ascii="Bookman Old Style" w:hAnsi="Bookman Old Style"/>
              </w:rPr>
            </w:pPr>
            <w:r w:rsidRPr="007241BC">
              <w:rPr>
                <w:rFonts w:ascii="Bookman Old Style" w:hAnsi="Bookman Old Style"/>
                <w:b/>
              </w:rPr>
              <w:t>DOI</w:t>
            </w:r>
            <w:r w:rsidR="00D4627B" w:rsidRPr="007241BC">
              <w:rPr>
                <w:rFonts w:ascii="Bookman Old Style" w:hAnsi="Bookman Old Style"/>
              </w:rPr>
              <w:t xml:space="preserve">: </w:t>
            </w:r>
            <w:r w:rsidR="00D00097">
              <w:rPr>
                <w:rFonts w:ascii="Bookman Old Style" w:hAnsi="Bookman Old Style" w:cs="BookmanOldStyle"/>
                <w:color w:val="753A10"/>
                <w:sz w:val="22"/>
                <w:szCs w:val="22"/>
              </w:rPr>
              <w:t>ht</w:t>
            </w:r>
            <w:r w:rsidR="00D4627B" w:rsidRPr="005F3A5B">
              <w:rPr>
                <w:rFonts w:ascii="Bookman Old Style" w:hAnsi="Bookman Old Style" w:cs="BookmanOldStyle"/>
                <w:color w:val="753A10"/>
                <w:sz w:val="22"/>
                <w:szCs w:val="22"/>
              </w:rPr>
              <w:t>tps://doi.org</w:t>
            </w:r>
            <w:r w:rsidR="00D00097">
              <w:rPr>
                <w:rFonts w:ascii="Bookman Old Style" w:hAnsi="Bookman Old Style" w:cs="BookmanOldStyle"/>
                <w:color w:val="753A10"/>
                <w:sz w:val="22"/>
                <w:szCs w:val="22"/>
              </w:rPr>
              <w:t>/10.53335/cliocanarias.2025.7.</w:t>
            </w:r>
            <w:r w:rsidR="0051428A">
              <w:rPr>
                <w:rFonts w:ascii="Bookman Old Style" w:hAnsi="Bookman Old Style" w:cs="BookmanOldStyle"/>
                <w:color w:val="753A10"/>
                <w:sz w:val="22"/>
                <w:szCs w:val="22"/>
              </w:rPr>
              <w:t>1</w:t>
            </w:r>
            <w:r w:rsidR="000348F9">
              <w:rPr>
                <w:rFonts w:ascii="Bookman Old Style" w:hAnsi="Bookman Old Style" w:cs="BookmanOldStyle"/>
                <w:color w:val="753A10"/>
                <w:sz w:val="22"/>
                <w:szCs w:val="22"/>
              </w:rPr>
              <w:t>3</w:t>
            </w:r>
          </w:p>
          <w:p w:rsidR="00D4627B" w:rsidRPr="007241BC" w:rsidRDefault="00D4627B" w:rsidP="00D00097">
            <w:pPr>
              <w:jc w:val="both"/>
              <w:rPr>
                <w:rFonts w:ascii="Bookman Old Style" w:hAnsi="Bookman Old Style"/>
                <w:sz w:val="22"/>
                <w:szCs w:val="22"/>
                <w:lang w:val="en-GB"/>
              </w:rPr>
            </w:pPr>
            <w:r w:rsidRPr="007241BC">
              <w:rPr>
                <w:rFonts w:ascii="Bookman Old Style" w:hAnsi="Bookman Old Style"/>
                <w:b/>
                <w:sz w:val="22"/>
                <w:szCs w:val="22"/>
                <w:lang w:val="en-GB"/>
              </w:rPr>
              <w:t>CLIOCANARIAS</w:t>
            </w:r>
            <w:r w:rsidRPr="007241BC">
              <w:rPr>
                <w:rFonts w:ascii="Bookman Old Style" w:hAnsi="Bookman Old Style"/>
                <w:sz w:val="22"/>
                <w:szCs w:val="22"/>
                <w:lang w:val="en-GB"/>
              </w:rPr>
              <w:t xml:space="preserve"> n.º 7, Secc. </w:t>
            </w:r>
            <w:r w:rsidR="00295DC7">
              <w:rPr>
                <w:rFonts w:ascii="Bookman Old Style" w:hAnsi="Bookman Old Style"/>
                <w:sz w:val="22"/>
                <w:szCs w:val="22"/>
                <w:lang w:val="en-GB"/>
              </w:rPr>
              <w:t>Opinión</w:t>
            </w:r>
          </w:p>
          <w:p w:rsidR="002B3CE8" w:rsidRPr="007241BC" w:rsidRDefault="002B3CE8" w:rsidP="00D00097">
            <w:pPr>
              <w:jc w:val="both"/>
              <w:rPr>
                <w:rFonts w:ascii="Bookman Old Style" w:hAnsi="Bookman Old Style"/>
              </w:rPr>
            </w:pPr>
          </w:p>
        </w:tc>
        <w:tc>
          <w:tcPr>
            <w:tcW w:w="3048" w:type="dxa"/>
            <w:vMerge/>
          </w:tcPr>
          <w:p w:rsidR="002B3CE8" w:rsidRPr="00D4627B" w:rsidRDefault="002B3CE8" w:rsidP="00D00097">
            <w:pPr>
              <w:jc w:val="both"/>
              <w:rPr>
                <w:rFonts w:ascii="Bookman Old Style" w:hAnsi="Bookman Old Style"/>
              </w:rPr>
            </w:pPr>
          </w:p>
        </w:tc>
      </w:tr>
      <w:tr w:rsidR="002B3CE8" w:rsidRPr="00D4627B" w:rsidTr="001A5D53">
        <w:trPr>
          <w:trHeight w:val="658"/>
        </w:trPr>
        <w:tc>
          <w:tcPr>
            <w:tcW w:w="6135" w:type="dxa"/>
            <w:vMerge w:val="restart"/>
          </w:tcPr>
          <w:p w:rsidR="000348F9" w:rsidRDefault="000348F9" w:rsidP="00295DC7">
            <w:pPr>
              <w:autoSpaceDE w:val="0"/>
              <w:autoSpaceDN w:val="0"/>
              <w:adjustRightInd w:val="0"/>
              <w:spacing w:after="0" w:line="240" w:lineRule="auto"/>
              <w:jc w:val="both"/>
              <w:rPr>
                <w:rFonts w:ascii="Bookman Old Style" w:hAnsi="Bookman Old Style" w:cs="BookmanOldStyle"/>
                <w:sz w:val="22"/>
                <w:szCs w:val="22"/>
              </w:rPr>
            </w:pPr>
          </w:p>
          <w:p w:rsidR="000348F9" w:rsidRPr="000348F9" w:rsidRDefault="000348F9" w:rsidP="00295DC7">
            <w:pPr>
              <w:autoSpaceDE w:val="0"/>
              <w:autoSpaceDN w:val="0"/>
              <w:adjustRightInd w:val="0"/>
              <w:spacing w:after="0" w:line="240" w:lineRule="auto"/>
              <w:jc w:val="both"/>
              <w:rPr>
                <w:rFonts w:ascii="Bookman Old Style" w:hAnsi="Bookman Old Style" w:cs="BookmanOldStyle"/>
                <w:b/>
                <w:sz w:val="22"/>
                <w:szCs w:val="22"/>
              </w:rPr>
            </w:pPr>
            <w:r w:rsidRPr="000348F9">
              <w:rPr>
                <w:rFonts w:ascii="Bookman Old Style" w:hAnsi="Bookman Old Style" w:cs="BookmanOldStyle"/>
                <w:b/>
                <w:sz w:val="22"/>
                <w:szCs w:val="22"/>
              </w:rPr>
              <w:t>Palabras clave:</w:t>
            </w:r>
            <w:r>
              <w:rPr>
                <w:rFonts w:ascii="Bookman Old Style" w:hAnsi="Bookman Old Style" w:cs="BookmanOldStyle"/>
                <w:b/>
                <w:sz w:val="22"/>
                <w:szCs w:val="22"/>
              </w:rPr>
              <w:t xml:space="preserve"> </w:t>
            </w:r>
            <w:r w:rsidRPr="000348F9">
              <w:rPr>
                <w:rFonts w:ascii="Bookman Old Style" w:hAnsi="Bookman Old Style"/>
                <w:sz w:val="22"/>
                <w:szCs w:val="22"/>
                <w:lang w:val="en-GB"/>
              </w:rPr>
              <w:t>Franquismo, Magisterio, Provincia de Santa Cruz de Tenerife, Fuentes, Documentación</w:t>
            </w:r>
          </w:p>
          <w:p w:rsidR="000348F9" w:rsidRPr="000348F9" w:rsidRDefault="000348F9" w:rsidP="000348F9">
            <w:pPr>
              <w:autoSpaceDE w:val="0"/>
              <w:autoSpaceDN w:val="0"/>
              <w:adjustRightInd w:val="0"/>
              <w:spacing w:after="0" w:line="240" w:lineRule="auto"/>
              <w:jc w:val="both"/>
              <w:rPr>
                <w:rFonts w:ascii="Bookman Old Style" w:eastAsia="Aptos" w:hAnsi="Bookman Old Style"/>
                <w:sz w:val="22"/>
                <w:szCs w:val="22"/>
              </w:rPr>
            </w:pPr>
            <w:r w:rsidRPr="000348F9">
              <w:rPr>
                <w:rFonts w:ascii="Bookman Old Style" w:hAnsi="Bookman Old Style" w:cs="BookmanOldStyle"/>
                <w:b/>
                <w:sz w:val="22"/>
                <w:szCs w:val="22"/>
              </w:rPr>
              <w:t>Resumen:</w:t>
            </w:r>
            <w:r>
              <w:rPr>
                <w:rFonts w:ascii="Bookman Old Style" w:hAnsi="Bookman Old Style" w:cs="BookmanOldStyle"/>
                <w:b/>
                <w:sz w:val="22"/>
                <w:szCs w:val="22"/>
              </w:rPr>
              <w:t xml:space="preserve"> </w:t>
            </w:r>
            <w:r w:rsidRPr="000348F9">
              <w:rPr>
                <w:rFonts w:ascii="Bookman Old Style" w:eastAsia="Aptos" w:hAnsi="Bookman Old Style"/>
                <w:sz w:val="22"/>
                <w:szCs w:val="22"/>
              </w:rPr>
              <w:t xml:space="preserve">Esta es una aportación de fuentes documentales para el conocimiento de quienes eran los docentes que componían el Magisterio de la provincia de Santa Cruz de Tenerife, que habían sido formados dentro del sistema educativo republicano y que con la Guerra Civil se encontraron con un nuevo sistema totalmente opuesto, la educación nacionalcatólica franquista. El núcleo de este estudio son los listados de maestros y maestras de las islas de Tenerife, La Palma, La Gomera y El Hierro. Se detallan sus nombres, pero también sus categorías administrativas, así como el lugar en el que ejercían la docencia. </w:t>
            </w:r>
          </w:p>
          <w:p w:rsidR="000348F9" w:rsidRDefault="000348F9" w:rsidP="00295DC7">
            <w:pPr>
              <w:autoSpaceDE w:val="0"/>
              <w:autoSpaceDN w:val="0"/>
              <w:adjustRightInd w:val="0"/>
              <w:spacing w:after="0" w:line="240" w:lineRule="auto"/>
              <w:jc w:val="both"/>
              <w:rPr>
                <w:rFonts w:ascii="Bookman Old Style" w:hAnsi="Bookman Old Style" w:cs="BookmanOldStyle"/>
                <w:sz w:val="22"/>
                <w:szCs w:val="22"/>
              </w:rPr>
            </w:pPr>
          </w:p>
          <w:p w:rsidR="002B3CE8" w:rsidRPr="001A5D53" w:rsidRDefault="00295DC7" w:rsidP="000348F9">
            <w:pPr>
              <w:autoSpaceDE w:val="0"/>
              <w:autoSpaceDN w:val="0"/>
              <w:adjustRightInd w:val="0"/>
              <w:spacing w:after="0" w:line="240" w:lineRule="auto"/>
              <w:jc w:val="both"/>
              <w:rPr>
                <w:rFonts w:ascii="Bookman Old Style" w:hAnsi="Bookman Old Style"/>
                <w:sz w:val="22"/>
                <w:szCs w:val="22"/>
              </w:rPr>
            </w:pPr>
            <w:r w:rsidRPr="00D36B1C">
              <w:rPr>
                <w:rFonts w:ascii="Bookman Old Style" w:hAnsi="Bookman Old Style" w:cs="BookmanOldStyle"/>
                <w:sz w:val="22"/>
                <w:szCs w:val="22"/>
              </w:rPr>
              <w:t xml:space="preserve"> </w:t>
            </w:r>
          </w:p>
        </w:tc>
        <w:tc>
          <w:tcPr>
            <w:tcW w:w="3048" w:type="dxa"/>
            <w:vMerge/>
          </w:tcPr>
          <w:p w:rsidR="002B3CE8" w:rsidRPr="00D4627B" w:rsidRDefault="002B3CE8" w:rsidP="00B472D5">
            <w:pPr>
              <w:rPr>
                <w:rFonts w:ascii="Bookman Old Style" w:hAnsi="Bookman Old Style"/>
              </w:rPr>
            </w:pPr>
          </w:p>
        </w:tc>
      </w:tr>
      <w:tr w:rsidR="002B3CE8" w:rsidRPr="00D4627B" w:rsidTr="001A5D53">
        <w:trPr>
          <w:trHeight w:val="2685"/>
        </w:trPr>
        <w:tc>
          <w:tcPr>
            <w:tcW w:w="6135" w:type="dxa"/>
            <w:vMerge/>
          </w:tcPr>
          <w:p w:rsidR="002B3CE8" w:rsidRPr="00D4627B" w:rsidRDefault="002B3CE8" w:rsidP="00B472D5">
            <w:pPr>
              <w:rPr>
                <w:rFonts w:ascii="Bookman Old Style" w:hAnsi="Bookman Old Style"/>
              </w:rPr>
            </w:pPr>
          </w:p>
        </w:tc>
        <w:tc>
          <w:tcPr>
            <w:tcW w:w="3048" w:type="dxa"/>
            <w:vMerge w:val="restart"/>
          </w:tcPr>
          <w:p w:rsidR="0051428A" w:rsidRDefault="007241BC" w:rsidP="0051428A">
            <w:pPr>
              <w:rPr>
                <w:rFonts w:ascii="Bookman Old Style" w:hAnsi="Bookman Old Style"/>
                <w:b/>
              </w:rPr>
            </w:pPr>
            <w:r w:rsidRPr="00476BC5">
              <w:rPr>
                <w:rFonts w:ascii="Bookman Old Style" w:hAnsi="Bookman Old Style"/>
                <w:b/>
              </w:rPr>
              <w:t>Cómo citar:</w:t>
            </w:r>
          </w:p>
          <w:p w:rsidR="007241BC" w:rsidRPr="005F3A5B" w:rsidRDefault="00516BAC" w:rsidP="000348F9">
            <w:pPr>
              <w:autoSpaceDE w:val="0"/>
              <w:autoSpaceDN w:val="0"/>
              <w:adjustRightInd w:val="0"/>
              <w:spacing w:after="0" w:line="240" w:lineRule="auto"/>
              <w:jc w:val="both"/>
              <w:rPr>
                <w:rFonts w:ascii="Bookman Old Style" w:hAnsi="Bookman Old Style"/>
                <w:sz w:val="22"/>
                <w:szCs w:val="22"/>
              </w:rPr>
            </w:pPr>
            <w:r w:rsidRPr="000348F9">
              <w:rPr>
                <w:rFonts w:ascii="Bookman Old Style" w:hAnsi="Bookman Old Style" w:cs="BookmanOldStyle"/>
                <w:sz w:val="22"/>
                <w:szCs w:val="22"/>
              </w:rPr>
              <w:t>NEGRÍN FAJARDO</w:t>
            </w:r>
            <w:r>
              <w:rPr>
                <w:rFonts w:ascii="Bookman Old Style" w:hAnsi="Bookman Old Style" w:cs="BookmanOldStyle"/>
                <w:sz w:val="22"/>
                <w:szCs w:val="22"/>
              </w:rPr>
              <w:t xml:space="preserve">, </w:t>
            </w:r>
            <w:r w:rsidRPr="000348F9">
              <w:rPr>
                <w:rFonts w:ascii="Bookman Old Style" w:hAnsi="Bookman Old Style" w:cs="BookmanOldStyle"/>
                <w:sz w:val="22"/>
                <w:szCs w:val="22"/>
              </w:rPr>
              <w:t>Olega</w:t>
            </w:r>
            <w:r>
              <w:rPr>
                <w:rFonts w:ascii="Bookman Old Style" w:hAnsi="Bookman Old Style" w:cs="BookmanOldStyle"/>
                <w:sz w:val="22"/>
                <w:szCs w:val="22"/>
              </w:rPr>
              <w:t>-</w:t>
            </w:r>
            <w:r w:rsidRPr="000348F9">
              <w:rPr>
                <w:rFonts w:ascii="Bookman Old Style" w:hAnsi="Bookman Old Style" w:cs="BookmanOldStyle"/>
                <w:sz w:val="22"/>
                <w:szCs w:val="22"/>
              </w:rPr>
              <w:t>rio</w:t>
            </w:r>
            <w:r w:rsidR="00167911" w:rsidRPr="000348F9">
              <w:rPr>
                <w:rFonts w:ascii="Bookman Old Style" w:hAnsi="Bookman Old Style"/>
              </w:rPr>
              <w:t>.</w:t>
            </w:r>
            <w:r w:rsidR="00B2613D" w:rsidRPr="000348F9">
              <w:rPr>
                <w:rFonts w:ascii="Bookman Old Style" w:hAnsi="Bookman Old Style"/>
              </w:rPr>
              <w:t xml:space="preserve"> </w:t>
            </w:r>
            <w:r w:rsidR="000348F9" w:rsidRPr="000348F9">
              <w:rPr>
                <w:rFonts w:ascii="Bookman Old Style" w:hAnsi="Bookman Old Style" w:cs="BookmanOldStyle-Bold"/>
                <w:bCs/>
                <w:sz w:val="22"/>
                <w:szCs w:val="22"/>
              </w:rPr>
              <w:t>El Magisterio de la provincia de Santa Cruz de Tenerife</w:t>
            </w:r>
            <w:r>
              <w:rPr>
                <w:rFonts w:ascii="Bookman Old Style" w:hAnsi="Bookman Old Style" w:cs="BookmanOldStyle-Bold"/>
                <w:bCs/>
                <w:sz w:val="22"/>
                <w:szCs w:val="22"/>
              </w:rPr>
              <w:t xml:space="preserve"> </w:t>
            </w:r>
            <w:r w:rsidR="000348F9" w:rsidRPr="000348F9">
              <w:rPr>
                <w:rFonts w:ascii="Bookman Old Style" w:hAnsi="Bookman Old Style" w:cs="BookmanOldStyle-Bold"/>
                <w:bCs/>
                <w:sz w:val="22"/>
                <w:szCs w:val="22"/>
              </w:rPr>
              <w:t>en torno a 1936: entre la II República y el nacionalcatolicismo</w:t>
            </w:r>
            <w:r>
              <w:rPr>
                <w:rFonts w:ascii="Bookman Old Style" w:hAnsi="Bookman Old Style" w:cs="BookmanOldStyle-Bold"/>
                <w:bCs/>
                <w:sz w:val="22"/>
                <w:szCs w:val="22"/>
              </w:rPr>
              <w:t xml:space="preserve">  fran-quista. </w:t>
            </w:r>
            <w:r w:rsidR="00B2613D" w:rsidRPr="000348F9">
              <w:rPr>
                <w:rFonts w:ascii="Bookman Old Style" w:hAnsi="Bookman Old Style"/>
                <w:i/>
                <w:sz w:val="22"/>
                <w:szCs w:val="22"/>
              </w:rPr>
              <w:t>Clioc</w:t>
            </w:r>
            <w:r w:rsidR="00167911" w:rsidRPr="000348F9">
              <w:rPr>
                <w:rFonts w:ascii="Bookman Old Style" w:hAnsi="Bookman Old Style"/>
                <w:bCs/>
                <w:i/>
                <w:sz w:val="22"/>
                <w:szCs w:val="22"/>
              </w:rPr>
              <w:t>a</w:t>
            </w:r>
            <w:r w:rsidR="007241BC" w:rsidRPr="000348F9">
              <w:rPr>
                <w:rFonts w:ascii="Bookman Old Style" w:hAnsi="Bookman Old Style"/>
                <w:bCs/>
                <w:i/>
                <w:sz w:val="22"/>
                <w:szCs w:val="22"/>
              </w:rPr>
              <w:t>narias</w:t>
            </w:r>
            <w:r w:rsidR="007241BC" w:rsidRPr="005F3A5B">
              <w:rPr>
                <w:rFonts w:ascii="Bookman Old Style" w:hAnsi="Bookman Old Style"/>
                <w:bCs/>
                <w:sz w:val="22"/>
                <w:szCs w:val="22"/>
              </w:rPr>
              <w:t xml:space="preserve">, n.º 7, pp. </w:t>
            </w:r>
            <w:r>
              <w:rPr>
                <w:rFonts w:ascii="Bookman Old Style" w:hAnsi="Bookman Old Style"/>
                <w:bCs/>
                <w:sz w:val="22"/>
                <w:szCs w:val="22"/>
              </w:rPr>
              <w:t>405-427.</w:t>
            </w:r>
            <w:r w:rsidR="007241BC" w:rsidRPr="005F3A5B">
              <w:rPr>
                <w:rFonts w:ascii="Bookman Old Style" w:hAnsi="Bookman Old Style"/>
                <w:bCs/>
                <w:sz w:val="22"/>
                <w:szCs w:val="22"/>
              </w:rPr>
              <w:t xml:space="preserve"> </w:t>
            </w:r>
            <w:bookmarkStart w:id="0" w:name="_GoBack"/>
            <w:bookmarkEnd w:id="0"/>
          </w:p>
          <w:p w:rsidR="002B3CE8" w:rsidRPr="00D4627B" w:rsidRDefault="002B3CE8" w:rsidP="007241BC">
            <w:pPr>
              <w:rPr>
                <w:rFonts w:ascii="Bookman Old Style" w:hAnsi="Bookman Old Style"/>
              </w:rPr>
            </w:pPr>
          </w:p>
        </w:tc>
      </w:tr>
      <w:tr w:rsidR="002B3CE8" w:rsidRPr="00617EA2" w:rsidTr="001A5D53">
        <w:trPr>
          <w:trHeight w:val="1842"/>
        </w:trPr>
        <w:tc>
          <w:tcPr>
            <w:tcW w:w="6135" w:type="dxa"/>
            <w:vMerge w:val="restart"/>
          </w:tcPr>
          <w:p w:rsidR="007241BC" w:rsidRPr="000348F9" w:rsidRDefault="00295DC7" w:rsidP="00D00097">
            <w:pPr>
              <w:spacing w:after="60" w:line="240" w:lineRule="auto"/>
              <w:ind w:left="284" w:hanging="284"/>
              <w:jc w:val="both"/>
              <w:rPr>
                <w:rFonts w:ascii="Bookman Old Style" w:hAnsi="Bookman Old Style"/>
                <w:b/>
                <w:sz w:val="22"/>
                <w:szCs w:val="22"/>
              </w:rPr>
            </w:pPr>
            <w:r w:rsidRPr="000348F9">
              <w:rPr>
                <w:rFonts w:ascii="Bookman Old Style" w:hAnsi="Bookman Old Style"/>
                <w:b/>
                <w:sz w:val="22"/>
                <w:szCs w:val="22"/>
              </w:rPr>
              <w:t>CITAS</w:t>
            </w:r>
          </w:p>
          <w:p w:rsidR="000348F9" w:rsidRPr="000348F9" w:rsidRDefault="000348F9" w:rsidP="000348F9">
            <w:pPr>
              <w:spacing w:after="60" w:line="240" w:lineRule="auto"/>
              <w:ind w:left="284" w:hanging="284"/>
              <w:jc w:val="both"/>
              <w:rPr>
                <w:rFonts w:ascii="Bookman Old Style" w:hAnsi="Bookman Old Style"/>
                <w:sz w:val="22"/>
                <w:szCs w:val="22"/>
              </w:rPr>
            </w:pPr>
            <w:r w:rsidRPr="000348F9">
              <w:rPr>
                <w:rFonts w:ascii="Bookman Old Style" w:hAnsi="Bookman Old Style"/>
                <w:sz w:val="22"/>
                <w:szCs w:val="22"/>
              </w:rPr>
              <w:t xml:space="preserve">AGUIAR GARCÍA, Carlos David. </w:t>
            </w:r>
            <w:r w:rsidRPr="000348F9">
              <w:rPr>
                <w:rFonts w:ascii="Bookman Old Style" w:hAnsi="Bookman Old Style"/>
                <w:i/>
                <w:iCs/>
                <w:sz w:val="22"/>
                <w:szCs w:val="22"/>
              </w:rPr>
              <w:t>La provincia de Santa Cruz de Tenerife entre dos dictaduras (1923-1945). Hambre y orden</w:t>
            </w:r>
            <w:r w:rsidRPr="000348F9">
              <w:rPr>
                <w:rFonts w:ascii="Bookman Old Style" w:hAnsi="Bookman Old Style"/>
                <w:sz w:val="22"/>
                <w:szCs w:val="22"/>
              </w:rPr>
              <w:t xml:space="preserve">. [en línea]. Tesis doctoral. Barcelona: Universitat de Barcelona, 2012 [consulta: 20 marzo </w:t>
            </w:r>
            <w:r w:rsidRPr="000348F9">
              <w:rPr>
                <w:rFonts w:ascii="Bookman Old Style" w:hAnsi="Bookman Old Style"/>
                <w:sz w:val="22"/>
                <w:szCs w:val="22"/>
              </w:rPr>
              <w:lastRenderedPageBreak/>
              <w:t>2025]. Disponible en: https://hdl.handle.net/2445/35547.</w:t>
            </w:r>
          </w:p>
          <w:p w:rsidR="000348F9" w:rsidRPr="000348F9" w:rsidRDefault="000348F9" w:rsidP="000348F9">
            <w:pPr>
              <w:spacing w:after="60" w:line="240" w:lineRule="auto"/>
              <w:ind w:left="284" w:hanging="284"/>
              <w:jc w:val="both"/>
              <w:rPr>
                <w:rFonts w:ascii="Bookman Old Style" w:eastAsia="Aptos" w:hAnsi="Bookman Old Style"/>
                <w:sz w:val="22"/>
                <w:szCs w:val="22"/>
              </w:rPr>
            </w:pPr>
            <w:r w:rsidRPr="000348F9">
              <w:rPr>
                <w:rFonts w:ascii="Bookman Old Style" w:eastAsia="Aptos" w:hAnsi="Bookman Old Style"/>
                <w:sz w:val="22"/>
                <w:szCs w:val="22"/>
              </w:rPr>
              <w:t xml:space="preserve">FERRAZ LORENZO, Manuel. </w:t>
            </w:r>
            <w:r w:rsidRPr="000348F9">
              <w:rPr>
                <w:rFonts w:ascii="Bookman Old Style" w:eastAsia="Aptos" w:hAnsi="Bookman Old Style"/>
                <w:i/>
                <w:iCs/>
                <w:sz w:val="22"/>
                <w:szCs w:val="22"/>
              </w:rPr>
              <w:t>La Palma. Sociedad, Educación y Cultura (1931-1939)</w:t>
            </w:r>
            <w:r w:rsidRPr="000348F9">
              <w:rPr>
                <w:rFonts w:ascii="Bookman Old Style" w:eastAsia="Aptos" w:hAnsi="Bookman Old Style"/>
                <w:sz w:val="22"/>
                <w:szCs w:val="22"/>
              </w:rPr>
              <w:t xml:space="preserve">. Tenerife, Centro de Cultura Popular Canaria, 1997. </w:t>
            </w:r>
          </w:p>
          <w:p w:rsidR="000348F9" w:rsidRPr="000348F9" w:rsidRDefault="000348F9" w:rsidP="000348F9">
            <w:pPr>
              <w:spacing w:after="60" w:line="240" w:lineRule="auto"/>
              <w:ind w:left="284" w:hanging="284"/>
              <w:jc w:val="both"/>
              <w:rPr>
                <w:rFonts w:ascii="Bookman Old Style" w:eastAsia="Aptos" w:hAnsi="Bookman Old Style"/>
                <w:sz w:val="22"/>
                <w:szCs w:val="22"/>
              </w:rPr>
            </w:pPr>
            <w:r w:rsidRPr="000348F9">
              <w:rPr>
                <w:rFonts w:ascii="Bookman Old Style" w:eastAsia="Aptos" w:hAnsi="Bookman Old Style"/>
                <w:sz w:val="22"/>
                <w:szCs w:val="22"/>
              </w:rPr>
              <w:t xml:space="preserve">GUERRA PALMERO, Ricardo A. La larga posguerra en Canarias. Notas socioeconómicas. La Laguna, </w:t>
            </w:r>
            <w:r w:rsidRPr="000348F9">
              <w:rPr>
                <w:rFonts w:ascii="Bookman Old Style" w:eastAsia="Aptos" w:hAnsi="Bookman Old Style"/>
                <w:i/>
                <w:iCs/>
                <w:sz w:val="22"/>
                <w:szCs w:val="22"/>
              </w:rPr>
              <w:t>Cuadernos del Ateneo,</w:t>
            </w:r>
            <w:r w:rsidRPr="000348F9">
              <w:rPr>
                <w:rFonts w:ascii="Bookman Old Style" w:eastAsia="Aptos" w:hAnsi="Bookman Old Style"/>
                <w:sz w:val="22"/>
                <w:szCs w:val="22"/>
              </w:rPr>
              <w:t xml:space="preserve"> nº 23, 2007, pp. 53-74.</w:t>
            </w:r>
          </w:p>
          <w:p w:rsidR="000348F9" w:rsidRPr="000348F9" w:rsidRDefault="000348F9" w:rsidP="000348F9">
            <w:pPr>
              <w:spacing w:after="60" w:line="240" w:lineRule="auto"/>
              <w:ind w:left="284" w:hanging="284"/>
              <w:jc w:val="both"/>
              <w:rPr>
                <w:rFonts w:ascii="Bookman Old Style" w:eastAsia="Aptos" w:hAnsi="Bookman Old Style"/>
                <w:sz w:val="22"/>
                <w:szCs w:val="22"/>
              </w:rPr>
            </w:pPr>
            <w:r w:rsidRPr="000348F9">
              <w:rPr>
                <w:rFonts w:ascii="Bookman Old Style" w:eastAsia="Aptos" w:hAnsi="Bookman Old Style"/>
                <w:sz w:val="22"/>
                <w:szCs w:val="22"/>
              </w:rPr>
              <w:t xml:space="preserve">LEÓN ÁLVAREZ, Aarón (ed.). </w:t>
            </w:r>
            <w:r w:rsidRPr="000348F9">
              <w:rPr>
                <w:rFonts w:ascii="Bookman Old Style" w:eastAsia="Aptos" w:hAnsi="Bookman Old Style"/>
                <w:i/>
                <w:iCs/>
                <w:sz w:val="22"/>
                <w:szCs w:val="22"/>
              </w:rPr>
              <w:t>La Represión franquista en Canarias</w:t>
            </w:r>
            <w:r w:rsidRPr="000348F9">
              <w:rPr>
                <w:rFonts w:ascii="Bookman Old Style" w:eastAsia="Aptos" w:hAnsi="Bookman Old Style"/>
                <w:sz w:val="22"/>
                <w:szCs w:val="22"/>
              </w:rPr>
              <w:t xml:space="preserve">. Santa Cruz de Tenerife, LeCanarien Ediciones, 2015. </w:t>
            </w:r>
          </w:p>
          <w:p w:rsidR="000348F9" w:rsidRPr="000348F9" w:rsidRDefault="000348F9" w:rsidP="000348F9">
            <w:pPr>
              <w:spacing w:after="60" w:line="240" w:lineRule="auto"/>
              <w:ind w:left="284" w:hanging="284"/>
              <w:jc w:val="both"/>
              <w:rPr>
                <w:rFonts w:ascii="Bookman Old Style" w:eastAsia="Aptos" w:hAnsi="Bookman Old Style"/>
                <w:sz w:val="22"/>
                <w:szCs w:val="22"/>
              </w:rPr>
            </w:pPr>
            <w:r w:rsidRPr="000348F9">
              <w:rPr>
                <w:rFonts w:ascii="Bookman Old Style" w:eastAsia="Aptos" w:hAnsi="Bookman Old Style"/>
                <w:sz w:val="22"/>
                <w:szCs w:val="22"/>
              </w:rPr>
              <w:t xml:space="preserve">NAVARRO SANDALINAS, Ramón. </w:t>
            </w:r>
            <w:r w:rsidRPr="000348F9">
              <w:rPr>
                <w:rFonts w:ascii="Bookman Old Style" w:eastAsia="Aptos" w:hAnsi="Bookman Old Style"/>
                <w:i/>
                <w:iCs/>
                <w:sz w:val="22"/>
                <w:szCs w:val="22"/>
              </w:rPr>
              <w:t>La enseñanza primaria durante el franquismo (1936- 1975)</w:t>
            </w:r>
            <w:r w:rsidRPr="000348F9">
              <w:rPr>
                <w:rFonts w:ascii="Bookman Old Style" w:eastAsia="Aptos" w:hAnsi="Bookman Old Style"/>
                <w:sz w:val="22"/>
                <w:szCs w:val="22"/>
              </w:rPr>
              <w:t xml:space="preserve">. Barcelona, PPU, 1990. </w:t>
            </w:r>
          </w:p>
          <w:p w:rsidR="000348F9" w:rsidRPr="000348F9" w:rsidRDefault="000348F9" w:rsidP="000348F9">
            <w:pPr>
              <w:spacing w:after="60" w:line="240" w:lineRule="auto"/>
              <w:ind w:left="284" w:hanging="284"/>
              <w:jc w:val="both"/>
              <w:rPr>
                <w:rFonts w:ascii="Bookman Old Style" w:eastAsia="Aptos" w:hAnsi="Bookman Old Style"/>
                <w:sz w:val="22"/>
                <w:szCs w:val="22"/>
              </w:rPr>
            </w:pPr>
            <w:r w:rsidRPr="000348F9">
              <w:rPr>
                <w:rFonts w:ascii="Bookman Old Style" w:eastAsia="Aptos" w:hAnsi="Bookman Old Style"/>
                <w:sz w:val="22"/>
                <w:szCs w:val="22"/>
              </w:rPr>
              <w:t xml:space="preserve">NEGRÍN FAJARDO, Olegario. La depuración franquista del Magisterio de la provincia de Santa Cruz de Tenerife. Aproximación cuantitativa y estudio de algunos casos singulares en el periodo de la Guerra Civil, </w:t>
            </w:r>
            <w:r w:rsidRPr="000348F9">
              <w:rPr>
                <w:rFonts w:ascii="Bookman Old Style" w:eastAsia="Aptos" w:hAnsi="Bookman Old Style"/>
                <w:i/>
                <w:iCs/>
                <w:sz w:val="22"/>
                <w:szCs w:val="22"/>
              </w:rPr>
              <w:t>XXV Coloquio de historia Canario-</w:t>
            </w:r>
            <w:r w:rsidRPr="000348F9">
              <w:rPr>
                <w:rFonts w:ascii="Bookman Old Style" w:eastAsia="Aptos" w:hAnsi="Bookman Old Style"/>
                <w:sz w:val="22"/>
                <w:szCs w:val="22"/>
              </w:rPr>
              <w:t>Americana. Las Palmas de Gran Canaria, Cabildo de Gran Canaria, Casa de Colón, 2023, pp. 1-13.</w:t>
            </w:r>
          </w:p>
          <w:p w:rsidR="000348F9" w:rsidRPr="000348F9" w:rsidRDefault="000348F9" w:rsidP="000348F9">
            <w:pPr>
              <w:spacing w:after="60" w:line="240" w:lineRule="auto"/>
              <w:ind w:left="284" w:hanging="284"/>
              <w:jc w:val="both"/>
              <w:rPr>
                <w:rFonts w:ascii="Bookman Old Style" w:eastAsia="Aptos" w:hAnsi="Bookman Old Style"/>
                <w:sz w:val="22"/>
                <w:szCs w:val="22"/>
              </w:rPr>
            </w:pPr>
            <w:r w:rsidRPr="000348F9">
              <w:rPr>
                <w:rFonts w:ascii="Bookman Old Style" w:eastAsia="Aptos" w:hAnsi="Bookman Old Style"/>
                <w:sz w:val="22"/>
                <w:szCs w:val="22"/>
              </w:rPr>
              <w:t xml:space="preserve"> NEGRÍN FAJARDO, Olegario</w:t>
            </w:r>
            <w:r>
              <w:rPr>
                <w:rFonts w:ascii="Bookman Old Style" w:eastAsia="Aptos" w:hAnsi="Bookman Old Style"/>
                <w:sz w:val="22"/>
                <w:szCs w:val="22"/>
              </w:rPr>
              <w:t xml:space="preserve">. </w:t>
            </w:r>
            <w:r w:rsidRPr="000348F9">
              <w:rPr>
                <w:rFonts w:ascii="Bookman Old Style" w:hAnsi="Bookman Old Style"/>
                <w:sz w:val="22"/>
                <w:szCs w:val="22"/>
              </w:rPr>
              <w:t xml:space="preserve">El estado de la cuestión en torno a la represión y depuración franquista del Magisterio canario (1936-1943). En </w:t>
            </w:r>
            <w:r w:rsidRPr="000348F9">
              <w:rPr>
                <w:rFonts w:ascii="Bookman Old Style" w:hAnsi="Bookman Old Style"/>
                <w:i/>
                <w:iCs/>
                <w:sz w:val="22"/>
                <w:szCs w:val="22"/>
              </w:rPr>
              <w:t>La represión franquista en Canarias, Ceuta y Melilla,</w:t>
            </w:r>
            <w:r w:rsidRPr="000348F9">
              <w:rPr>
                <w:rFonts w:ascii="Bookman Old Style" w:hAnsi="Bookman Old Style"/>
                <w:sz w:val="22"/>
                <w:szCs w:val="22"/>
              </w:rPr>
              <w:t xml:space="preserve"> Memòria Antifranquista del Baix Llobregat, Portavoz de l’Associació per a la Memòria Històrica Democràtica del Baix Llobregat. Barcelona, nº 24, 2024, Edición Extraordinaria, pp. 27-29.</w:t>
            </w:r>
          </w:p>
          <w:p w:rsidR="000348F9" w:rsidRPr="000348F9" w:rsidRDefault="000348F9" w:rsidP="000348F9">
            <w:pPr>
              <w:spacing w:after="60" w:line="240" w:lineRule="auto"/>
              <w:ind w:left="284" w:hanging="284"/>
              <w:jc w:val="both"/>
              <w:rPr>
                <w:rFonts w:ascii="Bookman Old Style" w:eastAsia="Aptos" w:hAnsi="Bookman Old Style"/>
                <w:sz w:val="22"/>
                <w:szCs w:val="22"/>
              </w:rPr>
            </w:pPr>
            <w:r w:rsidRPr="000348F9">
              <w:rPr>
                <w:rFonts w:ascii="Bookman Old Style" w:eastAsia="Aptos" w:hAnsi="Bookman Old Style"/>
                <w:sz w:val="22"/>
                <w:szCs w:val="22"/>
              </w:rPr>
              <w:t xml:space="preserve">    —El estado de la cuestión en torno a la represión y depuración franquistas del Magisterio canario. En </w:t>
            </w:r>
            <w:r w:rsidRPr="000348F9">
              <w:rPr>
                <w:rFonts w:ascii="Bookman Old Style" w:eastAsia="Aptos" w:hAnsi="Bookman Old Style"/>
                <w:i/>
                <w:iCs/>
                <w:sz w:val="22"/>
                <w:szCs w:val="22"/>
              </w:rPr>
              <w:t>Cliocanarias</w:t>
            </w:r>
            <w:r w:rsidRPr="000348F9">
              <w:rPr>
                <w:rFonts w:ascii="Bookman Old Style" w:eastAsia="Aptos" w:hAnsi="Bookman Old Style"/>
                <w:sz w:val="22"/>
                <w:szCs w:val="22"/>
              </w:rPr>
              <w:t xml:space="preserve">, n.º 6, 2024, pp. 481-528. </w:t>
            </w:r>
          </w:p>
          <w:p w:rsidR="000348F9" w:rsidRPr="000348F9" w:rsidRDefault="000348F9" w:rsidP="00D00097">
            <w:pPr>
              <w:spacing w:after="60" w:line="240" w:lineRule="auto"/>
              <w:ind w:left="284" w:hanging="284"/>
              <w:jc w:val="both"/>
              <w:rPr>
                <w:rFonts w:ascii="Bookman Old Style" w:hAnsi="Bookman Old Style"/>
                <w:b/>
                <w:sz w:val="22"/>
                <w:szCs w:val="22"/>
              </w:rPr>
            </w:pPr>
          </w:p>
        </w:tc>
        <w:tc>
          <w:tcPr>
            <w:tcW w:w="3048" w:type="dxa"/>
            <w:vMerge/>
          </w:tcPr>
          <w:p w:rsidR="002B3CE8" w:rsidRPr="00617EA2" w:rsidRDefault="002B3CE8" w:rsidP="00B472D5">
            <w:pPr>
              <w:rPr>
                <w:rFonts w:ascii="Bookman Old Style" w:hAnsi="Bookman Old Style"/>
                <w:sz w:val="22"/>
                <w:szCs w:val="22"/>
              </w:rPr>
            </w:pPr>
          </w:p>
        </w:tc>
      </w:tr>
      <w:tr w:rsidR="002B3CE8" w:rsidRPr="00617EA2" w:rsidTr="001A5D53">
        <w:trPr>
          <w:trHeight w:val="2656"/>
        </w:trPr>
        <w:tc>
          <w:tcPr>
            <w:tcW w:w="6135" w:type="dxa"/>
            <w:vMerge/>
          </w:tcPr>
          <w:p w:rsidR="002B3CE8" w:rsidRPr="00617EA2" w:rsidRDefault="002B3CE8" w:rsidP="00B472D5">
            <w:pPr>
              <w:rPr>
                <w:rFonts w:ascii="Bookman Old Style" w:hAnsi="Bookman Old Style"/>
                <w:sz w:val="22"/>
                <w:szCs w:val="22"/>
              </w:rPr>
            </w:pPr>
          </w:p>
        </w:tc>
        <w:tc>
          <w:tcPr>
            <w:tcW w:w="3048" w:type="dxa"/>
          </w:tcPr>
          <w:p w:rsidR="00D4627B" w:rsidRPr="00617EA2" w:rsidRDefault="00D4627B" w:rsidP="00D4627B">
            <w:pPr>
              <w:jc w:val="both"/>
              <w:rPr>
                <w:rFonts w:ascii="Bookman Old Style" w:hAnsi="Bookman Old Style" w:cs="Arial"/>
                <w:b/>
                <w:sz w:val="22"/>
                <w:szCs w:val="22"/>
                <w:shd w:val="clear" w:color="auto" w:fill="FFFFFF"/>
              </w:rPr>
            </w:pPr>
            <w:r w:rsidRPr="00617EA2">
              <w:rPr>
                <w:rFonts w:ascii="Bookman Old Style" w:hAnsi="Bookman Old Style" w:cs="Arial"/>
                <w:b/>
                <w:sz w:val="22"/>
                <w:szCs w:val="22"/>
                <w:shd w:val="clear" w:color="auto" w:fill="FFFFFF"/>
              </w:rPr>
              <w:t xml:space="preserve">LICENCIA </w:t>
            </w:r>
          </w:p>
          <w:p w:rsidR="00476BC5" w:rsidRPr="00617EA2" w:rsidRDefault="00D4627B" w:rsidP="00D4627B">
            <w:pPr>
              <w:jc w:val="both"/>
              <w:rPr>
                <w:rFonts w:ascii="Bookman Old Style" w:hAnsi="Bookman Old Style" w:cs="Arial"/>
                <w:sz w:val="22"/>
                <w:szCs w:val="22"/>
                <w:shd w:val="clear" w:color="auto" w:fill="FFFFFF"/>
              </w:rPr>
            </w:pPr>
            <w:r w:rsidRPr="00617EA2">
              <w:rPr>
                <w:rFonts w:ascii="Bookman Old Style" w:hAnsi="Bookman Old Style" w:cs="Arial"/>
                <w:sz w:val="22"/>
                <w:szCs w:val="22"/>
                <w:shd w:val="clear" w:color="auto" w:fill="FFFFFF"/>
              </w:rPr>
              <w:t>Derechos de autor</w:t>
            </w:r>
            <w:r w:rsidR="00FD2AE3" w:rsidRPr="00617EA2">
              <w:rPr>
                <w:rFonts w:ascii="Bookman Old Style" w:hAnsi="Bookman Old Style" w:cs="Arial"/>
                <w:sz w:val="22"/>
                <w:szCs w:val="22"/>
                <w:shd w:val="clear" w:color="auto" w:fill="FFFFFF"/>
              </w:rPr>
              <w:t>ía</w:t>
            </w:r>
            <w:r w:rsidRPr="00617EA2">
              <w:rPr>
                <w:rFonts w:ascii="Bookman Old Style" w:hAnsi="Bookman Old Style" w:cs="Arial"/>
                <w:sz w:val="22"/>
                <w:szCs w:val="22"/>
                <w:shd w:val="clear" w:color="auto" w:fill="FFFFFF"/>
              </w:rPr>
              <w:t xml:space="preserve"> 2025: </w:t>
            </w:r>
            <w:r w:rsidR="000348F9" w:rsidRPr="000348F9">
              <w:rPr>
                <w:rFonts w:ascii="Bookman Old Style" w:hAnsi="Bookman Old Style" w:cs="BookmanOldStyle"/>
                <w:sz w:val="22"/>
                <w:szCs w:val="22"/>
              </w:rPr>
              <w:t>Olegario Negrín Fajardo</w:t>
            </w:r>
          </w:p>
          <w:p w:rsidR="00D4627B" w:rsidRPr="00617EA2" w:rsidRDefault="00D4627B" w:rsidP="00D4627B">
            <w:pPr>
              <w:jc w:val="both"/>
              <w:rPr>
                <w:rFonts w:ascii="Bookman Old Style" w:hAnsi="Bookman Old Style" w:cs="Arial"/>
                <w:sz w:val="22"/>
                <w:szCs w:val="22"/>
                <w:shd w:val="clear" w:color="auto" w:fill="FFFFFF"/>
              </w:rPr>
            </w:pPr>
            <w:r w:rsidRPr="00617EA2">
              <w:rPr>
                <w:rFonts w:ascii="Bookman Old Style" w:hAnsi="Bookman Old Style"/>
                <w:sz w:val="22"/>
                <w:szCs w:val="22"/>
                <w:lang w:val="es-CL"/>
              </w:rPr>
              <w:t>Lo</w:t>
            </w:r>
            <w:r w:rsidRPr="00617EA2">
              <w:rPr>
                <w:rFonts w:ascii="Bookman Old Style" w:hAnsi="Bookman Old Style" w:cs="Arial"/>
                <w:sz w:val="22"/>
                <w:szCs w:val="22"/>
                <w:shd w:val="clear" w:color="auto" w:fill="FFFFFF"/>
              </w:rPr>
              <w:t>s derechos de edición y primera publicación corresponden a la revista, y su contenido podrá ser utilizado con fines educativos y científicos. Se debe citar siempre el origen, pudiendo la revista —con independencia del libre uso y difusión de cada original por parte de su autor— publicar el número completo en cualesquiera plataformas de contenidos científicos o culturales que posibiliten una mayor difusión.</w:t>
            </w:r>
          </w:p>
          <w:p w:rsidR="002B3CE8" w:rsidRPr="00617EA2" w:rsidRDefault="00D4627B" w:rsidP="00D4627B">
            <w:pPr>
              <w:rPr>
                <w:rFonts w:ascii="Bookman Old Style" w:hAnsi="Bookman Old Style"/>
                <w:sz w:val="22"/>
                <w:szCs w:val="22"/>
              </w:rPr>
            </w:pPr>
            <w:r w:rsidRPr="00617EA2">
              <w:rPr>
                <w:rFonts w:ascii="Bookman Old Style" w:hAnsi="Bookman Old Style" w:cs="Arial"/>
                <w:sz w:val="22"/>
                <w:szCs w:val="22"/>
                <w:shd w:val="clear" w:color="auto" w:fill="FFFFFF"/>
              </w:rPr>
              <w:t>El uso por parte de terceras personas de cualquier trabajo publicado se regula mediante licencia Creative Commons Reconocimiento 4.0 Internacional (atribución-no comercial, CC BY-NC-4.0) </w:t>
            </w:r>
            <w:r w:rsidRPr="00617EA2">
              <w:rPr>
                <w:rFonts w:ascii="Bookman Old Style" w:hAnsi="Bookman Old Style" w:cs="Arial"/>
                <w:noProof/>
                <w:sz w:val="22"/>
                <w:szCs w:val="22"/>
                <w:bdr w:val="none" w:sz="0" w:space="0" w:color="auto" w:frame="1"/>
                <w:shd w:val="clear" w:color="auto" w:fill="FFFFFF"/>
                <w:lang w:eastAsia="es-ES"/>
              </w:rPr>
              <w:drawing>
                <wp:inline distT="0" distB="0" distL="0" distR="0" wp14:anchorId="667DDF67" wp14:editId="05F06583">
                  <wp:extent cx="590550" cy="209550"/>
                  <wp:effectExtent l="0" t="0" r="0" b="0"/>
                  <wp:docPr id="1" name="Imagen 1" descr="http://cliocanarias.com/wp-content/uploads/2021/11/cc.png">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liocanarias.com/wp-content/uploads/2021/11/cc.png">
                            <a:hlinkClick r:id="rId7" tgtFrame="&quot;_blank&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550" cy="209550"/>
                          </a:xfrm>
                          <a:prstGeom prst="rect">
                            <a:avLst/>
                          </a:prstGeom>
                          <a:noFill/>
                          <a:ln>
                            <a:noFill/>
                          </a:ln>
                        </pic:spPr>
                      </pic:pic>
                    </a:graphicData>
                  </a:graphic>
                </wp:inline>
              </w:drawing>
            </w:r>
            <w:r w:rsidRPr="00617EA2">
              <w:rPr>
                <w:rFonts w:ascii="Bookman Old Style" w:hAnsi="Bookman Old Style" w:cs="Arial"/>
                <w:sz w:val="22"/>
                <w:szCs w:val="22"/>
                <w:shd w:val="clear" w:color="auto" w:fill="FFFFFF"/>
              </w:rPr>
              <w:t>. Es preciso mencionar la autoría y la fuente original de publicación (revista, URL), quedando excluida toda finalidad mercantil.</w:t>
            </w:r>
          </w:p>
        </w:tc>
      </w:tr>
    </w:tbl>
    <w:p w:rsidR="002B3CE8" w:rsidRPr="00617EA2" w:rsidRDefault="002B3CE8">
      <w:pPr>
        <w:rPr>
          <w:rFonts w:ascii="Bookman Old Style" w:hAnsi="Bookman Old Style"/>
          <w:sz w:val="22"/>
          <w:szCs w:val="22"/>
        </w:rPr>
      </w:pPr>
    </w:p>
    <w:sectPr w:rsidR="002B3CE8" w:rsidRPr="00617EA2" w:rsidSect="007241B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BookmanOldStyle-Bold">
    <w:panose1 w:val="00000000000000000000"/>
    <w:charset w:val="00"/>
    <w:family w:val="swiss"/>
    <w:notTrueType/>
    <w:pitch w:val="default"/>
    <w:sig w:usb0="00000003" w:usb1="00000000" w:usb2="00000000" w:usb3="00000000" w:csb0="00000001" w:csb1="00000000"/>
  </w:font>
  <w:font w:name="BookmanOldStyle">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CE8"/>
    <w:rsid w:val="000348F9"/>
    <w:rsid w:val="000C34D4"/>
    <w:rsid w:val="00167911"/>
    <w:rsid w:val="0019261F"/>
    <w:rsid w:val="001A5D53"/>
    <w:rsid w:val="00295DC7"/>
    <w:rsid w:val="002B3CE8"/>
    <w:rsid w:val="0041664B"/>
    <w:rsid w:val="00476BC5"/>
    <w:rsid w:val="0051428A"/>
    <w:rsid w:val="00516BAC"/>
    <w:rsid w:val="00543B2C"/>
    <w:rsid w:val="005F3A5B"/>
    <w:rsid w:val="00617EA2"/>
    <w:rsid w:val="006876AE"/>
    <w:rsid w:val="006933D6"/>
    <w:rsid w:val="007241BC"/>
    <w:rsid w:val="007C2A68"/>
    <w:rsid w:val="007E1C35"/>
    <w:rsid w:val="00873840"/>
    <w:rsid w:val="009060F9"/>
    <w:rsid w:val="00954D4A"/>
    <w:rsid w:val="00A82FA5"/>
    <w:rsid w:val="00B054D5"/>
    <w:rsid w:val="00B2613D"/>
    <w:rsid w:val="00B33391"/>
    <w:rsid w:val="00BB395C"/>
    <w:rsid w:val="00BC5177"/>
    <w:rsid w:val="00C06E4B"/>
    <w:rsid w:val="00CD2725"/>
    <w:rsid w:val="00D00097"/>
    <w:rsid w:val="00D4627B"/>
    <w:rsid w:val="00E6781E"/>
    <w:rsid w:val="00FD2AE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E2ED7"/>
  <w15:chartTrackingRefBased/>
  <w15:docId w15:val="{A18D5CF8-5B40-4E81-923E-53AD6B3FC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Theme="minorHAnsi" w:hAnsi="Tahoma" w:cs="Tahoma"/>
        <w:sz w:val="24"/>
        <w:szCs w:val="24"/>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3CE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D4627B"/>
    <w:pPr>
      <w:autoSpaceDE w:val="0"/>
      <w:autoSpaceDN w:val="0"/>
      <w:adjustRightInd w:val="0"/>
      <w:spacing w:after="0" w:line="240" w:lineRule="auto"/>
    </w:pPr>
    <w:rPr>
      <w:rFonts w:ascii="Bookman Old Style" w:hAnsi="Bookman Old Style" w:cs="Bookman Old Style"/>
      <w:color w:val="000000"/>
    </w:rPr>
  </w:style>
  <w:style w:type="character" w:styleId="Hipervnculo">
    <w:name w:val="Hyperlink"/>
    <w:basedOn w:val="Fuentedeprrafopredeter"/>
    <w:uiPriority w:val="99"/>
    <w:unhideWhenUsed/>
    <w:rsid w:val="00D4627B"/>
    <w:rPr>
      <w:color w:val="0563C1" w:themeColor="hyperlink"/>
      <w:u w:val="single"/>
    </w:rPr>
  </w:style>
  <w:style w:type="character" w:customStyle="1" w:styleId="Ninguno">
    <w:name w:val="Ninguno"/>
    <w:qFormat/>
    <w:rsid w:val="007241BC"/>
    <w:rPr>
      <w:lang w:val="es-ES_tradnl"/>
    </w:rPr>
  </w:style>
  <w:style w:type="character" w:styleId="nfasis">
    <w:name w:val="Emphasis"/>
    <w:uiPriority w:val="20"/>
    <w:qFormat/>
    <w:rsid w:val="007241BC"/>
    <w:rPr>
      <w:i/>
      <w:iCs/>
    </w:rPr>
  </w:style>
  <w:style w:type="character" w:customStyle="1" w:styleId="apple-converted-space">
    <w:name w:val="apple-converted-space"/>
    <w:rsid w:val="007241BC"/>
  </w:style>
  <w:style w:type="paragraph" w:styleId="Textonotapie">
    <w:name w:val="footnote text"/>
    <w:basedOn w:val="Normal"/>
    <w:link w:val="TextonotapieCar"/>
    <w:uiPriority w:val="99"/>
    <w:unhideWhenUsed/>
    <w:qFormat/>
    <w:rsid w:val="00476BC5"/>
    <w:pPr>
      <w:spacing w:after="0" w:line="240" w:lineRule="auto"/>
    </w:pPr>
    <w:rPr>
      <w:rFonts w:ascii="Calibri" w:eastAsia="Calibri" w:hAnsi="Calibri" w:cs="Times New Roman"/>
      <w:sz w:val="20"/>
      <w:szCs w:val="20"/>
    </w:rPr>
  </w:style>
  <w:style w:type="character" w:customStyle="1" w:styleId="TextonotapieCar">
    <w:name w:val="Texto nota pie Car"/>
    <w:basedOn w:val="Fuentedeprrafopredeter"/>
    <w:link w:val="Textonotapie"/>
    <w:uiPriority w:val="99"/>
    <w:qFormat/>
    <w:rsid w:val="00476BC5"/>
    <w:rPr>
      <w:rFonts w:ascii="Calibri" w:eastAsia="Calibri" w:hAnsi="Calibri" w:cs="Times New Roman"/>
      <w:sz w:val="20"/>
      <w:szCs w:val="20"/>
    </w:rPr>
  </w:style>
  <w:style w:type="character" w:styleId="Hipervnculovisitado">
    <w:name w:val="FollowedHyperlink"/>
    <w:basedOn w:val="Fuentedeprrafopredeter"/>
    <w:uiPriority w:val="99"/>
    <w:semiHidden/>
    <w:unhideWhenUsed/>
    <w:rsid w:val="00476BC5"/>
    <w:rPr>
      <w:color w:val="954F72" w:themeColor="followedHyperlink"/>
      <w:u w:val="single"/>
    </w:rPr>
  </w:style>
  <w:style w:type="paragraph" w:styleId="Prrafodelista">
    <w:name w:val="List Paragraph"/>
    <w:basedOn w:val="Normal"/>
    <w:uiPriority w:val="34"/>
    <w:qFormat/>
    <w:rsid w:val="001A5D53"/>
    <w:pPr>
      <w:ind w:left="720"/>
      <w:contextualSpacing/>
    </w:pPr>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creativecommons.org/licenses/by-nc/4.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hyperlink" Target="https://orcid"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7B50EB-6516-47BA-A8E9-43D623F32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581</Words>
  <Characters>3196</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gonzalez morales</dc:creator>
  <cp:keywords/>
  <dc:description/>
  <cp:lastModifiedBy>andrés gonzalez morales</cp:lastModifiedBy>
  <cp:revision>2</cp:revision>
  <dcterms:created xsi:type="dcterms:W3CDTF">2025-07-04T10:33:00Z</dcterms:created>
  <dcterms:modified xsi:type="dcterms:W3CDTF">2025-07-04T10:33:00Z</dcterms:modified>
</cp:coreProperties>
</file>