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0F9" w:rsidRDefault="009060F9"/>
    <w:p w:rsidR="002B3CE8" w:rsidRDefault="002B3CE8"/>
    <w:p w:rsidR="002B3CE8" w:rsidRDefault="002B3CE8"/>
    <w:tbl>
      <w:tblPr>
        <w:tblW w:w="9254" w:type="dxa"/>
        <w:tblInd w:w="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35"/>
        <w:gridCol w:w="3119"/>
      </w:tblGrid>
      <w:tr w:rsidR="002B3CE8" w:rsidRPr="00D4627B" w:rsidTr="007241BC">
        <w:trPr>
          <w:trHeight w:val="841"/>
        </w:trPr>
        <w:tc>
          <w:tcPr>
            <w:tcW w:w="9254" w:type="dxa"/>
            <w:gridSpan w:val="2"/>
          </w:tcPr>
          <w:p w:rsidR="0019261F" w:rsidRPr="00D00097" w:rsidRDefault="0019261F" w:rsidP="0019261F">
            <w:pPr>
              <w:spacing w:after="0" w:line="240" w:lineRule="auto"/>
              <w:jc w:val="center"/>
              <w:rPr>
                <w:rFonts w:ascii="Bookman Old Style" w:eastAsia="Times New Roman" w:hAnsi="Bookman Old Style"/>
                <w:b/>
                <w:color w:val="753A10"/>
                <w:sz w:val="28"/>
                <w:szCs w:val="28"/>
              </w:rPr>
            </w:pPr>
            <w:r w:rsidRPr="00D00097">
              <w:rPr>
                <w:rFonts w:ascii="Bookman Old Style" w:eastAsia="Times New Roman" w:hAnsi="Bookman Old Style"/>
                <w:b/>
                <w:color w:val="753A10"/>
                <w:sz w:val="28"/>
                <w:szCs w:val="28"/>
              </w:rPr>
              <w:t xml:space="preserve">Folclore e identidad en el franquismo: </w:t>
            </w:r>
          </w:p>
          <w:p w:rsidR="0019261F" w:rsidRPr="00D00097" w:rsidRDefault="0019261F" w:rsidP="0019261F">
            <w:pPr>
              <w:spacing w:after="60" w:line="240" w:lineRule="auto"/>
              <w:jc w:val="center"/>
              <w:rPr>
                <w:rFonts w:ascii="Bookman Old Style" w:eastAsia="Times New Roman" w:hAnsi="Bookman Old Style"/>
                <w:b/>
                <w:color w:val="753A10"/>
                <w:sz w:val="28"/>
                <w:szCs w:val="28"/>
              </w:rPr>
            </w:pPr>
            <w:r w:rsidRPr="00D00097">
              <w:rPr>
                <w:rFonts w:ascii="Bookman Old Style" w:eastAsia="Times New Roman" w:hAnsi="Bookman Old Style"/>
                <w:b/>
                <w:color w:val="753A10"/>
                <w:sz w:val="28"/>
                <w:szCs w:val="28"/>
              </w:rPr>
              <w:t>algunos apuntes sobre el caso de Canarias</w:t>
            </w:r>
          </w:p>
          <w:p w:rsidR="002B3CE8" w:rsidRPr="00D4627B" w:rsidRDefault="002B3CE8" w:rsidP="00476BC5">
            <w:pPr>
              <w:spacing w:after="0" w:line="240" w:lineRule="auto"/>
              <w:jc w:val="center"/>
              <w:rPr>
                <w:rFonts w:ascii="Bookman Old Style" w:hAnsi="Bookman Old Style"/>
              </w:rPr>
            </w:pPr>
          </w:p>
        </w:tc>
      </w:tr>
      <w:tr w:rsidR="002B3CE8" w:rsidRPr="00D4627B" w:rsidTr="007241BC">
        <w:trPr>
          <w:trHeight w:val="1314"/>
        </w:trPr>
        <w:tc>
          <w:tcPr>
            <w:tcW w:w="6135" w:type="dxa"/>
          </w:tcPr>
          <w:p w:rsidR="00476BC5" w:rsidRPr="00476BC5" w:rsidRDefault="0019261F" w:rsidP="00476BC5">
            <w:pPr>
              <w:spacing w:after="0" w:line="240" w:lineRule="auto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 xml:space="preserve">Zoe Llorente Aucejo </w:t>
            </w:r>
          </w:p>
          <w:p w:rsidR="00476BC5" w:rsidRPr="00476BC5" w:rsidRDefault="00476BC5" w:rsidP="00D00097">
            <w:pPr>
              <w:spacing w:after="0" w:line="240" w:lineRule="auto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Investigador</w:t>
            </w:r>
            <w:r w:rsidR="00FD7B96">
              <w:rPr>
                <w:rFonts w:ascii="Bookman Old Style" w:hAnsi="Bookman Old Style"/>
              </w:rPr>
              <w:t>a</w:t>
            </w:r>
            <w:r>
              <w:rPr>
                <w:rFonts w:ascii="Bookman Old Style" w:hAnsi="Bookman Old Style"/>
              </w:rPr>
              <w:t xml:space="preserve"> independiente </w:t>
            </w:r>
          </w:p>
          <w:p w:rsidR="00D4627B" w:rsidRPr="00476BC5" w:rsidRDefault="00476BC5" w:rsidP="00D00097">
            <w:pPr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>(</w:t>
            </w:r>
            <w:r w:rsidRPr="00476BC5">
              <w:rPr>
                <w:rFonts w:ascii="Bookman Old Style" w:hAnsi="Bookman Old Style"/>
                <w:sz w:val="22"/>
                <w:szCs w:val="22"/>
              </w:rPr>
              <w:t>San Cristóbal de La Laguna, España)</w:t>
            </w:r>
          </w:p>
          <w:p w:rsidR="00D00097" w:rsidRPr="00D00097" w:rsidRDefault="00476BC5" w:rsidP="00D000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D00097">
              <w:rPr>
                <w:rFonts w:ascii="Bookman Old Style" w:hAnsi="Bookman Old Style"/>
                <w:sz w:val="22"/>
                <w:szCs w:val="22"/>
              </w:rPr>
              <w:t xml:space="preserve">Orcid: </w:t>
            </w:r>
            <w:hyperlink r:id="rId4" w:history="1">
              <w:r w:rsidR="00D00097" w:rsidRPr="00D00097">
                <w:rPr>
                  <w:rStyle w:val="Hipervnculo"/>
                  <w:rFonts w:ascii="Bookman Old Style" w:hAnsi="Bookman Old Style" w:cs="BookmanOldStyle"/>
                  <w:color w:val="auto"/>
                  <w:sz w:val="22"/>
                  <w:szCs w:val="22"/>
                  <w:u w:val="none"/>
                </w:rPr>
                <w:t>https://orcid</w:t>
              </w:r>
            </w:hyperlink>
            <w:r w:rsidR="00D00097" w:rsidRPr="00D00097">
              <w:rPr>
                <w:rFonts w:ascii="Bookman Old Style" w:hAnsi="Bookman Old Style" w:cs="BookmanOldStyle"/>
                <w:sz w:val="22"/>
                <w:szCs w:val="22"/>
              </w:rPr>
              <w:t xml:space="preserve">. org/0009-0007-7627-7689. </w:t>
            </w:r>
          </w:p>
          <w:p w:rsidR="00D4627B" w:rsidRPr="007241BC" w:rsidRDefault="00D00097" w:rsidP="00D000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</w:rPr>
            </w:pPr>
            <w:r w:rsidRPr="00D00097">
              <w:rPr>
                <w:rFonts w:ascii="Bookman Old Style" w:hAnsi="Bookman Old Style" w:cs="BookmanOldStyle"/>
                <w:sz w:val="22"/>
                <w:szCs w:val="22"/>
              </w:rPr>
              <w:t>C. e.: alu0101032375@ull.edu.es</w:t>
            </w:r>
          </w:p>
        </w:tc>
        <w:tc>
          <w:tcPr>
            <w:tcW w:w="3119" w:type="dxa"/>
            <w:vMerge w:val="restart"/>
          </w:tcPr>
          <w:p w:rsidR="002B3CE8" w:rsidRPr="00D4627B" w:rsidRDefault="00D4627B" w:rsidP="00CD2725">
            <w:pPr>
              <w:jc w:val="center"/>
              <w:rPr>
                <w:rFonts w:ascii="Bookman Old Style" w:hAnsi="Bookman Old Style"/>
              </w:rPr>
            </w:pPr>
            <w:r w:rsidRPr="00D4627B">
              <w:rPr>
                <w:rFonts w:ascii="Bookman Old Style" w:hAnsi="Bookman Old Style"/>
                <w:noProof/>
                <w:lang w:eastAsia="es-ES"/>
              </w:rPr>
              <w:drawing>
                <wp:inline distT="0" distB="0" distL="0" distR="0" wp14:anchorId="13A5AF17" wp14:editId="563AC259">
                  <wp:extent cx="1838325" cy="2571750"/>
                  <wp:effectExtent l="0" t="0" r="9525" b="0"/>
                  <wp:docPr id="3" name="Imagen 3" descr="C:\Users\jmrod\AppData\Local\Temp\1362aa00-1fde-4b5a-9484-2b8421f44494_ilovepdf_pages-to-jpg (1).zip.494\portada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mrod\AppData\Local\Temp\1362aa00-1fde-4b5a-9484-2b8421f44494_ilovepdf_pages-to-jpg (1).zip.494\portada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195" cy="2633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3CE8" w:rsidRPr="00D4627B" w:rsidTr="00D00097">
        <w:trPr>
          <w:trHeight w:val="1031"/>
        </w:trPr>
        <w:tc>
          <w:tcPr>
            <w:tcW w:w="6135" w:type="dxa"/>
          </w:tcPr>
          <w:p w:rsidR="002B3CE8" w:rsidRPr="007241BC" w:rsidRDefault="002B3CE8" w:rsidP="00D00097">
            <w:pPr>
              <w:jc w:val="both"/>
              <w:rPr>
                <w:rFonts w:ascii="Bookman Old Style" w:hAnsi="Bookman Old Style"/>
              </w:rPr>
            </w:pPr>
            <w:r w:rsidRPr="007241BC">
              <w:rPr>
                <w:rFonts w:ascii="Bookman Old Style" w:hAnsi="Bookman Old Style"/>
                <w:b/>
              </w:rPr>
              <w:t>DOI</w:t>
            </w:r>
            <w:r w:rsidR="00D4627B" w:rsidRPr="007241BC">
              <w:rPr>
                <w:rFonts w:ascii="Bookman Old Style" w:hAnsi="Bookman Old Style"/>
              </w:rPr>
              <w:t xml:space="preserve">: </w:t>
            </w:r>
            <w:r w:rsidR="00D00097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>ht</w:t>
            </w:r>
            <w:r w:rsidR="00D4627B" w:rsidRPr="005F3A5B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>tps://doi.org</w:t>
            </w:r>
            <w:r w:rsidR="00D00097">
              <w:rPr>
                <w:rFonts w:ascii="Bookman Old Style" w:hAnsi="Bookman Old Style" w:cs="BookmanOldStyle"/>
                <w:color w:val="753A10"/>
                <w:sz w:val="22"/>
                <w:szCs w:val="22"/>
              </w:rPr>
              <w:t>/10.53335/cliocanarias.2025.7.04</w:t>
            </w:r>
          </w:p>
          <w:p w:rsidR="00D4627B" w:rsidRPr="007241BC" w:rsidRDefault="00D4627B" w:rsidP="00D00097">
            <w:pPr>
              <w:jc w:val="both"/>
              <w:rPr>
                <w:rFonts w:ascii="Bookman Old Style" w:hAnsi="Bookman Old Style"/>
                <w:sz w:val="22"/>
                <w:szCs w:val="22"/>
                <w:lang w:val="en-GB"/>
              </w:rPr>
            </w:pPr>
            <w:r w:rsidRPr="007241BC">
              <w:rPr>
                <w:rFonts w:ascii="Bookman Old Style" w:hAnsi="Bookman Old Style"/>
                <w:b/>
                <w:sz w:val="22"/>
                <w:szCs w:val="22"/>
                <w:lang w:val="en-GB"/>
              </w:rPr>
              <w:t>CLIOCANARIAS</w:t>
            </w:r>
            <w:r w:rsidRPr="007241BC">
              <w:rPr>
                <w:rFonts w:ascii="Bookman Old Style" w:hAnsi="Bookman Old Style"/>
                <w:sz w:val="22"/>
                <w:szCs w:val="22"/>
                <w:lang w:val="en-GB"/>
              </w:rPr>
              <w:t xml:space="preserve"> n.º 7, Secc. Investigación</w:t>
            </w:r>
          </w:p>
          <w:p w:rsidR="002B3CE8" w:rsidRPr="007241BC" w:rsidRDefault="002B3CE8" w:rsidP="00D00097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3119" w:type="dxa"/>
            <w:vMerge/>
          </w:tcPr>
          <w:p w:rsidR="002B3CE8" w:rsidRPr="00D4627B" w:rsidRDefault="002B3CE8" w:rsidP="00D00097">
            <w:pPr>
              <w:jc w:val="both"/>
              <w:rPr>
                <w:rFonts w:ascii="Bookman Old Style" w:hAnsi="Bookman Old Style"/>
              </w:rPr>
            </w:pPr>
          </w:p>
        </w:tc>
      </w:tr>
      <w:tr w:rsidR="002B3CE8" w:rsidRPr="00D4627B" w:rsidTr="007241BC">
        <w:trPr>
          <w:trHeight w:val="658"/>
        </w:trPr>
        <w:tc>
          <w:tcPr>
            <w:tcW w:w="6135" w:type="dxa"/>
            <w:vMerge w:val="restart"/>
          </w:tcPr>
          <w:p w:rsidR="00D4627B" w:rsidRPr="00476BC5" w:rsidRDefault="00D4627B" w:rsidP="00D4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eastAsia="Bookman Old Style" w:hAnsi="Bookman Old Style" w:cs="Bookman Old Style"/>
                <w:sz w:val="22"/>
                <w:szCs w:val="22"/>
              </w:rPr>
            </w:pPr>
            <w:r w:rsidRPr="00D4627B">
              <w:rPr>
                <w:rFonts w:ascii="Bookman Old Style" w:hAnsi="Bookman Old Style"/>
                <w:b/>
                <w:sz w:val="22"/>
                <w:szCs w:val="22"/>
              </w:rPr>
              <w:t>Palabras clave</w:t>
            </w:r>
            <w:r w:rsidRPr="00D4627B">
              <w:rPr>
                <w:rFonts w:ascii="Bookman Old Style" w:hAnsi="Bookman Old Style"/>
                <w:sz w:val="22"/>
                <w:szCs w:val="22"/>
              </w:rPr>
              <w:t xml:space="preserve">: </w:t>
            </w:r>
            <w:r w:rsidR="00476BC5" w:rsidRPr="00476BC5">
              <w:rPr>
                <w:rFonts w:ascii="Bookman Old Style" w:hAnsi="Bookman Old Style"/>
                <w:sz w:val="22"/>
                <w:szCs w:val="22"/>
              </w:rPr>
              <w:t>Hornos de pez, cueva, data, Juan Clavijo, Daute.</w:t>
            </w:r>
          </w:p>
          <w:p w:rsidR="002B3CE8" w:rsidRPr="00D4627B" w:rsidRDefault="00D4627B" w:rsidP="00D462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</w:rPr>
            </w:pPr>
            <w:r w:rsidRPr="00476BC5">
              <w:rPr>
                <w:rFonts w:ascii="Bookman Old Style" w:hAnsi="Bookman Old Style"/>
                <w:b/>
                <w:bCs/>
                <w:sz w:val="22"/>
                <w:szCs w:val="22"/>
              </w:rPr>
              <w:t xml:space="preserve">Resumen: </w:t>
            </w:r>
            <w:r w:rsidR="00476BC5" w:rsidRPr="00476BC5">
              <w:rPr>
                <w:rFonts w:ascii="Bookman Old Style" w:hAnsi="Bookman Old Style"/>
                <w:sz w:val="22"/>
                <w:szCs w:val="22"/>
              </w:rPr>
              <w:t xml:space="preserve">El objetivo del presente trabajo consiste en exponer una serie de evidencias documentales y arqueológicas que permitirían plantear una hipótesis para la ubicación de una cueva en la comarca de Daute (isla de Tenerife). Dicho enclave, hasta ahora no identificado, fue otorgado en data a Juan Clavijo en 1523 como refugio para los trabajadores implicados en la producción de la pez. La propuesta de geolocalización es plausible gracias a una previa identificación de hornos de pez construidos durante los siglos </w:t>
            </w:r>
            <w:r w:rsidR="00476BC5" w:rsidRPr="00476BC5">
              <w:rPr>
                <w:rFonts w:ascii="Bookman Old Style" w:hAnsi="Bookman Old Style"/>
                <w:smallCaps/>
                <w:sz w:val="22"/>
                <w:szCs w:val="22"/>
              </w:rPr>
              <w:t>xvi</w:t>
            </w:r>
            <w:r w:rsidR="00476BC5" w:rsidRPr="00476BC5">
              <w:rPr>
                <w:rFonts w:ascii="Bookman Old Style" w:hAnsi="Bookman Old Style"/>
                <w:sz w:val="22"/>
                <w:szCs w:val="22"/>
              </w:rPr>
              <w:t xml:space="preserve"> y </w:t>
            </w:r>
            <w:r w:rsidR="00476BC5" w:rsidRPr="00476BC5">
              <w:rPr>
                <w:rFonts w:ascii="Bookman Old Style" w:hAnsi="Bookman Old Style"/>
                <w:smallCaps/>
                <w:sz w:val="22"/>
                <w:szCs w:val="22"/>
              </w:rPr>
              <w:t>xvii</w:t>
            </w:r>
            <w:r w:rsidR="00476BC5" w:rsidRPr="00476BC5">
              <w:rPr>
                <w:rFonts w:ascii="Bookman Old Style" w:hAnsi="Bookman Old Style"/>
                <w:sz w:val="22"/>
                <w:szCs w:val="22"/>
              </w:rPr>
              <w:t xml:space="preserve"> dentro de los montes de Daute.</w:t>
            </w:r>
          </w:p>
        </w:tc>
        <w:tc>
          <w:tcPr>
            <w:tcW w:w="3119" w:type="dxa"/>
            <w:vMerge/>
          </w:tcPr>
          <w:p w:rsidR="002B3CE8" w:rsidRPr="00D4627B" w:rsidRDefault="002B3CE8" w:rsidP="00B472D5">
            <w:pPr>
              <w:rPr>
                <w:rFonts w:ascii="Bookman Old Style" w:hAnsi="Bookman Old Style"/>
              </w:rPr>
            </w:pPr>
          </w:p>
        </w:tc>
      </w:tr>
      <w:tr w:rsidR="002B3CE8" w:rsidRPr="00D4627B" w:rsidTr="00BB395C">
        <w:trPr>
          <w:trHeight w:val="2685"/>
        </w:trPr>
        <w:tc>
          <w:tcPr>
            <w:tcW w:w="6135" w:type="dxa"/>
            <w:vMerge/>
          </w:tcPr>
          <w:p w:rsidR="002B3CE8" w:rsidRPr="00D4627B" w:rsidRDefault="002B3CE8" w:rsidP="00B472D5">
            <w:pPr>
              <w:rPr>
                <w:rFonts w:ascii="Bookman Old Style" w:hAnsi="Bookman Old Style"/>
              </w:rPr>
            </w:pPr>
          </w:p>
        </w:tc>
        <w:tc>
          <w:tcPr>
            <w:tcW w:w="3119" w:type="dxa"/>
            <w:vMerge w:val="restart"/>
          </w:tcPr>
          <w:p w:rsidR="007241BC" w:rsidRPr="00476BC5" w:rsidRDefault="007241BC" w:rsidP="007241BC">
            <w:pPr>
              <w:rPr>
                <w:rFonts w:ascii="Bookman Old Style" w:hAnsi="Bookman Old Style"/>
                <w:b/>
              </w:rPr>
            </w:pPr>
            <w:r w:rsidRPr="00476BC5">
              <w:rPr>
                <w:rFonts w:ascii="Bookman Old Style" w:hAnsi="Bookman Old Style"/>
                <w:b/>
              </w:rPr>
              <w:t>Cómo citar:</w:t>
            </w:r>
          </w:p>
          <w:p w:rsidR="007241BC" w:rsidRPr="005F3A5B" w:rsidRDefault="0019261F" w:rsidP="0019261F">
            <w:pPr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19261F">
              <w:rPr>
                <w:rFonts w:ascii="Bookman Old Style" w:hAnsi="Bookman Old Style"/>
                <w:sz w:val="22"/>
                <w:szCs w:val="22"/>
              </w:rPr>
              <w:t>LLORENTE AUCEJO, Zoe.</w:t>
            </w:r>
            <w:r w:rsidR="00476BC5" w:rsidRPr="0019261F"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r w:rsidRPr="0019261F">
              <w:rPr>
                <w:rFonts w:ascii="Bookman Old Style" w:eastAsia="Times New Roman" w:hAnsi="Bookman Old Style"/>
                <w:sz w:val="22"/>
                <w:szCs w:val="22"/>
              </w:rPr>
              <w:t>Folclore e identidad en el franquismo: algunos apun</w:t>
            </w:r>
            <w:r w:rsidR="00FD7B96">
              <w:rPr>
                <w:rFonts w:ascii="Bookman Old Style" w:eastAsia="Times New Roman" w:hAnsi="Bookman Old Style"/>
                <w:sz w:val="22"/>
                <w:szCs w:val="22"/>
              </w:rPr>
              <w:t>-</w:t>
            </w:r>
            <w:r w:rsidRPr="0019261F">
              <w:rPr>
                <w:rFonts w:ascii="Bookman Old Style" w:eastAsia="Times New Roman" w:hAnsi="Bookman Old Style"/>
                <w:sz w:val="22"/>
                <w:szCs w:val="22"/>
              </w:rPr>
              <w:t>tes sobre el caso de Ca</w:t>
            </w:r>
            <w:r w:rsidR="00FD7B96">
              <w:rPr>
                <w:rFonts w:ascii="Bookman Old Style" w:eastAsia="Times New Roman" w:hAnsi="Bookman Old Style"/>
                <w:sz w:val="22"/>
                <w:szCs w:val="22"/>
              </w:rPr>
              <w:t>-</w:t>
            </w:r>
            <w:bookmarkStart w:id="0" w:name="_GoBack"/>
            <w:bookmarkEnd w:id="0"/>
            <w:r w:rsidRPr="0019261F">
              <w:rPr>
                <w:rFonts w:ascii="Bookman Old Style" w:eastAsia="Times New Roman" w:hAnsi="Bookman Old Style"/>
                <w:sz w:val="22"/>
                <w:szCs w:val="22"/>
              </w:rPr>
              <w:t>narias.</w:t>
            </w:r>
            <w:r>
              <w:rPr>
                <w:rFonts w:ascii="Bookman Old Style" w:eastAsia="Times New Roman" w:hAnsi="Bookman Old Style"/>
                <w:sz w:val="22"/>
                <w:szCs w:val="22"/>
              </w:rPr>
              <w:t xml:space="preserve"> </w:t>
            </w:r>
            <w:r w:rsidR="007241BC" w:rsidRPr="005F3A5B">
              <w:rPr>
                <w:rFonts w:ascii="Bookman Old Style" w:hAnsi="Bookman Old Style"/>
                <w:bCs/>
                <w:i/>
                <w:sz w:val="22"/>
                <w:szCs w:val="22"/>
              </w:rPr>
              <w:t>Cliocanarias</w:t>
            </w:r>
            <w:r w:rsidR="007241BC" w:rsidRPr="005F3A5B">
              <w:rPr>
                <w:rFonts w:ascii="Bookman Old Style" w:hAnsi="Bookman Old Style"/>
                <w:bCs/>
                <w:sz w:val="22"/>
                <w:szCs w:val="22"/>
              </w:rPr>
              <w:t xml:space="preserve">, n.º 7, pp.  </w:t>
            </w:r>
            <w:r w:rsidR="00FD7B96">
              <w:rPr>
                <w:rFonts w:ascii="Bookman Old Style" w:hAnsi="Bookman Old Style"/>
                <w:bCs/>
                <w:sz w:val="22"/>
                <w:szCs w:val="22"/>
              </w:rPr>
              <w:t>71-106.</w:t>
            </w:r>
          </w:p>
          <w:p w:rsidR="002B3CE8" w:rsidRPr="00D4627B" w:rsidRDefault="002B3CE8" w:rsidP="007241BC">
            <w:pPr>
              <w:rPr>
                <w:rFonts w:ascii="Bookman Old Style" w:hAnsi="Bookman Old Style"/>
              </w:rPr>
            </w:pPr>
          </w:p>
        </w:tc>
      </w:tr>
      <w:tr w:rsidR="002B3CE8" w:rsidRPr="00D4627B" w:rsidTr="007241BC">
        <w:trPr>
          <w:trHeight w:val="1842"/>
        </w:trPr>
        <w:tc>
          <w:tcPr>
            <w:tcW w:w="6135" w:type="dxa"/>
            <w:vMerge w:val="restart"/>
          </w:tcPr>
          <w:p w:rsidR="002B3CE8" w:rsidRPr="00D00097" w:rsidRDefault="007241BC" w:rsidP="00B472D5">
            <w:pPr>
              <w:rPr>
                <w:rFonts w:ascii="Bookman Old Style" w:hAnsi="Bookman Old Style"/>
                <w:b/>
                <w:sz w:val="22"/>
                <w:szCs w:val="22"/>
              </w:rPr>
            </w:pPr>
            <w:r w:rsidRPr="00D00097">
              <w:rPr>
                <w:rFonts w:ascii="Bookman Old Style" w:hAnsi="Bookman Old Style"/>
                <w:b/>
                <w:sz w:val="22"/>
                <w:szCs w:val="22"/>
              </w:rPr>
              <w:t>CITAS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AITIDEN GUANCHE.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Canta a la patria.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[En línea]. En: vivacanariaslibreysocialista. YouTube, [1979] [consulta: 15 de abril de 2025]. ALONSO, Maria Rosa. Características de la poesía en Canarias.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Anuario de Estudios Atlánticos,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vol. 1, nº 39, 1993, pp. 17-39.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AMADOR CARRETERO, María Pilar. La mujer es el mensaje. Los coros y danzas de la Sección Femenina en Hispanoamérica.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Feminismo/s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n.º 2, 2003, pp. 101-119.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ANDERSON, Benedict. Comunidades imaginadas: reflexiones sobre el origen y la difusión del nacionalismo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.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México: Fondo de Cultura Económica, 2006.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ANDRADE, Sandra. El reto de la interculturalidad: Interculturalidad, plurinacionalidad y ciencias 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lastRenderedPageBreak/>
              <w:t xml:space="preserve">sociales en el Ecuador.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Antropología Cuadernos de Investigación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nº 8, 2009, pp. 13-23.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ANTA FÉLEZ, José. Luis. Un proyecto imposible de la modernidad franquista. Bailes tradicionales y NO-DO.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Filmhistoria Online,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vol. 33, n.º 2, 2023, pp. 453-514.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ARCHILÉS CARDONA, Ferran. "Hacer región es hacer patria". La región en el imaginario de la nación española de la Restauración.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Ayer,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n.º 64, 2006, pp. 121-147.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  —Lenguajes de nación. Las «experiencias de nación» y los procesos de nacionalización: propuestas para un debate.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Ayer,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n.º 90, 2013, pp. 91-114.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APPLEGATE, Celia. A Europe of Regions: Reflections on the Historiography of Sub-National Places in Modern Times.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The American Historical Review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vol. 104, nº 4, 1999, pp. 1157–1182.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Ayuntamiento de Candelaria.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Ceremonia Guanche de Candelaria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. [En línea]. Candelaria: Ayuntamiento de Candelaria, [consulta: 23 de marzo de 2025]. 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BAUCELLS MESA, Sergio. El “pleito de los naturales” y la asimilación guanche: de la identidad étnica a la identidad de clase.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Revista de Historia Canaria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n.º 196, 2014, pp. 139-160.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BECERRA BOLAÑOS, Antonio. Africana, europea, americana: la conformación imposible de la cultura canaria. En Fleischmann, S. &amp; Nenadovic, A. (eds.).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 xml:space="preserve">América Latina-África del Norte-España: lazos culturales, intelectuales y literarios del colonialismo español al antiimperialismo tercermundista. 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Madrid: Iberoamericana Vervuert, 2020, pp. 89-117.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BUSTO MIRAMONTES, Beatriz. El poder en el folklore: los cuerpos en NO-DO (1943-1948). T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rans. Revista Transcultural de Música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n.º 16, 2012, pp. 1-30.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CANALES SERRANO, Antonio. La educación y el fracaso del proyecto nacionalizador franquista. En LEÓN ÁLVAREZ, Aarón. (ed.). El franquismo en Canarias. La Orotava: LeCanarien Ediciones, 2014, pp. 89-104.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CARRERAS NAVARRO, Joaquín.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 xml:space="preserve">La romería de Tegueste: origen y primeros años (1969-1980). 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Tegueste (Tenerife): Ayuntamiento de Tegueste, 2015.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CASERO, Estrella.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 xml:space="preserve">La España que bailó con Franco. Coros y Danzas de la Sección Femenina. 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Madrid: Editorial Nuevas Estructuras, S. L., 2000.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CLARET, Jaume. &amp; FUSTER, Joan. Regionalismo y nacionalismo riman. En CLARET, Jaume. &amp; FUSTER, Joan (coords.).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El regionalismo bien entendido: Ambigüedades y límites del regionalismo en la España franquista.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Granada: Comares, 2021, pp. 1-11.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CLAVIJO REDONDO, Miguel Ángel &amp; NAVARRO MEDEROS, Juan Francisco. El funambulismo 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lastRenderedPageBreak/>
              <w:t xml:space="preserve">ideológico de un arqueólogo durante el período franquista: el caso de Luis Diego Cuscoy.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Revista Tabona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vol. 2, nº 32, 2004, pp. 75-102.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CRIADO, Ana de la Asunción. El folclore como instrumento político: los coros y danzas de la Sección Femenina.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Revista Historia Autónoma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nº 10, 2017, pp. 183-196.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ESTÉVEZ, Fernando.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Indigenismo, raza y evolución: el pensamiento antropológico canario (1750-1900).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Santa Cruz de Tenerife: Museo Etnográfico, Aula de Cultura del Cabildo de Tenerife, 1987.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  —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Canarios en la jaula identitaria: Selección de textos.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Madrid: Mercurio Editorial, 2019.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FARRUJIA DE LA ROSA, Augusto José. Arqueología, regionalismo y franquismo en Canarias: el estudio del poblamiento prehistórico como paradigma.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Revista Atlántica-Mediterránea de Prehistoria y Arqueología Social,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n.º 6, 2003, pp. 303-321.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GARCÍA SÁNCHEZ, Alberto. Etnología europea en países de habla alemana.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Revista Nuevas Tendencias en Antropología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2014, vol. 5, p. 175-199.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GENIOLA, Andrea. Un explícito nacionalismo banal. Sobre franquismo y nacionalismo. En QUIROGA FERNÁNDEZ, Alejandro. &amp; ARCHILÉS CARDONA, Ferran. (eds.).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 xml:space="preserve">Ondear la nación. 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Granada: Editorial Comares, 2018, pp. 159-180.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  —Una Cataluña española, una Vasconia españolísima. (Re) construcción de un relato, (re) significación de un imaginario (1939-1959).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Ayer. Revista de Historia Contemporánea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vol. 123, n.º 3, 2021, pp. 51-78.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  —Presentación. Esos entrañables afluentes de la patria. El «sano regionalismo» del franquismo.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Ayer. Revista de Historia Contemporánea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vol. 123, n.º 3, 2021, pp. 13-21.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GIL HERNÁNDEZ, Roberto. Neblina de fantasía: El trauma colonial y la descolonización de la identidad canaria.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Open Library of Humanities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vol. 7, n.º 1, 2021.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  —La Segunda Conquista de Canarias. Trabajo del duelo y fantasmas guanches en la cultura material de la España franquista.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Kamchatka. Revista de Análisis Cultural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n.º 18, 2021, pp. 221-246.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GROSSBERG, Lawrence. Identidad y estudios culturales: ¿no hay nada más que eso? En Hall &amp; Du Gay (Coords),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Cuestiones de identidad cultural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. Buenos Aires: Amorrortu, 2003, pp. 148-180. 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GUERRA PALMERO, Ricardo, y LEÓN ÁLVAREZ, Aarón. La españolización de Canarias a través de la propaganda falangista (1936- 1945). En Miguel Ángel Ruiz Carnicer [coord.].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Falange.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 xml:space="preserve">Las culturas políticas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lastRenderedPageBreak/>
              <w:t xml:space="preserve">del fascismo en la España de Franco. 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Zaragoza: Instituto Fernando El Católico, CSIC, 2013, pp. 233-254. 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HALL, Stuart. Estudios culturales: dos paradigmas.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Revista Colombiana de Sociología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nº27, 2006, pp. 233–254.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  —Introducción: ¿Quién necesita identidad?. En Hall &amp; Du Gay (Coords),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Cuestiones de identidad cultural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. Buenos Aires: Amorrortu, 2003, pp. 13-39.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HERNÁNDEZ BURGOS, Claudio. Franquismo suave: el nacionalismo banal de la dictadura. En QUIROGA FERNÁNDEZ, Alejandro. &amp; ARCHILÉS CARDONA, Ferran (eds).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Ondear la nación.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Granada: Editorial Comares, 2018, pp. 137-158.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HOBSBAWM, Eric. J. &amp; RANGER, Terence. (eds.).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La invención de la tradición.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Barcelona: Crítica, 2002.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ISLA DE TENERIFE VÍVELA.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Tenerife y sus bellezas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[vídeo en línea]. 8 de noviembre de 2015 [consulta: abril de 2024]. LORENZO PERERA, Manuel J.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 xml:space="preserve">El folklore maldito de las Islas Canarias. 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Tenerife: Centro de la Cultura Popular Canaria, 2002.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MARTÍ, Josep.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El folklorismo: uso y abuso de la tradición.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Barcelona: Editorial Ronsel, 1996.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  <w:t xml:space="preserve">MESA MARTÍN, José María. El tipismo del siglo XX: un invento con nombre propio. </w:t>
            </w:r>
            <w:r w:rsidRPr="00D00097">
              <w:rPr>
                <w:rFonts w:ascii="Bookman Old Style" w:eastAsia="Bookman Old Style" w:hAnsi="Bookman Old Style" w:cs="Bookman Old Style"/>
                <w:i/>
                <w:iCs/>
                <w:color w:val="000000" w:themeColor="text1"/>
                <w:sz w:val="22"/>
                <w:szCs w:val="22"/>
              </w:rPr>
              <w:t>El Pajar: Cuaderno de Etnografía Canaria</w:t>
            </w:r>
            <w:r w:rsidRPr="00D00097">
              <w:rPr>
                <w:rFonts w:ascii="Bookman Old Style" w:eastAsia="Bookman Old Style" w:hAnsi="Bookman Old Style" w:cs="Bookman Old Style"/>
                <w:color w:val="000000" w:themeColor="text1"/>
                <w:sz w:val="22"/>
                <w:szCs w:val="22"/>
              </w:rPr>
              <w:t xml:space="preserve"> [en línea], 1999, n.º 6, p. 23-32.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MEDINA RODRÍGUEZ, Sandra. Canarias en el NO-DO.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Revista de Historia Canaria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n.º 201, 2019, p. 133-151.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  <w:highlight w:val="white"/>
              </w:rPr>
              <w:t xml:space="preserve">MIEDER, Wolfgang. Proverbs in Nazi Germany: The promulgation of anti-Semitism and stereotypes through folklore.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  <w:highlight w:val="white"/>
              </w:rPr>
              <w:t>The Journal of American Folklore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  <w:highlight w:val="white"/>
              </w:rPr>
              <w:t>, 1982, vol. 95, no 378, p. 435-464.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MOLINA POVEDA, María Dolores. El NO-DO como medio de construcción de la identidad femenina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Historia y Memoria de la Educación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n.º 12, 2020, p. 239-270.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MONTESDEOCA GARCÍA-SÁENZ, Daniel. Néstor Martín-Fernández de la Torre y la creación de la identidad canaria.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Cartas diferentes: revista canaria de patrimonio documental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n.º 12, 2016, pp. 75-86.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MPAIAC.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1er Congreso septiembre 1979 o Libro Blanco del MPAIAC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. Caracas: Talleres Tipográficos de Miguel Ángel García e Hijo, 1980 [1979].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NAVARRO MEDEROS, Juan Francisco. Arqueología, identidad y patrimonio. Un diálogo en construcción permanente.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Revista Tabona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n.º 11, 2002, pp. 7-29.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NÚÑEZ SEIXAS, Xosé Manoel. De gaitas y liras: sobre discursos y prácticas de la pluralidad territorial en el fascismo español (1930-1950). En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 xml:space="preserve">Falange. Las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lastRenderedPageBreak/>
              <w:t>culturas políticas del fascismo en la España de Franco (1936-1975).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Zaragoza, 2013, pp. 289-316.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  —La región y lo local en el primer franquismo. En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Imaginarios y representaciones de España durante el franquismo, coordinado por Michonneau, S. y Núñez-Seixas, X. M. Madrid: Casa de Velázquez, 20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14. ORTIZ GARCÍA, Carmen. Folklore y franquismo. En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Ciencia y fascismo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, editado por Huertas, R. y Ortiz, C. Ediciones Doce Calles, 1998, pp. 161-179. 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  —Guanchismo y nacionalismo en las sociedades científicas canarias de fines del siglo XIX.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Revista de Estudios Generales de la Isla de La Palma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n.º 2, 2006, pp. 379-393.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  —Folclore, tipismo y política. Los trajes regionales de la Sección Femenina de Falange.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Gazeta de Antropología,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vol. 28, n.º 3, 2012, pp. 1-22.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PÉREZ CRUZ, José Antonio. El disfraz típico de Néstor. A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sociación Cultural Revista Digital BienMeSabe.org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nº 155, 2007.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QUIROGA FERNÁNDEZ, Alejandro. La nación nuestra de cada día. El impacto del banal nationalism en España. En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Ondear la nación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editado por QUIROGA FERNÁNDEZ, Alejandro y ARCHILÉS CARDONA, Ferran. Granada: Editorial Comares, 2018, pp. 1-18.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RAMOS BENÍTEZ, Javier. Deporte y política. La lucha canaria entre dos regímenes.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Atlántida.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Revista Canaria de Ciencias Sociales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n.º 10, 2019, pp. 65-81.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RODRÍGUEZ BECERRA, Salvador. Reflexiones sobre el concepto y evolución del folclore.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Antropología Experimental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n.º 21, 2021, pp. 207-220.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RODRÍGUEZ LÓPEZ, Sofía. La Sección Femenina de FET-JONS: 'paños calientes' para una dictadura.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Arenal,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 vol. 12, n.º 1, 2005, pp. 35-60.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ROPER, Jonathan. Thoms and the Unachieved 'Folk-Lore of England.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>Folklore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vol. 118, n.º 2, 2007, pp. 203-216.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RTVE.es.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NODO 45B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. RTVE.es [vídeo en línea], 8 de noviembre de 1943 [consulta en marzo de 2024]. 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RTVE.es.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>NODO 1089C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. RTVE.es [vídeo en línea], 18 de noviembre de 1963 [consulta en marzo de 2024]. Disponible en:</w:t>
            </w:r>
            <w:hyperlink r:id="rId6">
              <w:r w:rsidRPr="00D00097">
                <w:rPr>
                  <w:rFonts w:ascii="Bookman Old Style" w:eastAsia="Times New Roman" w:hAnsi="Bookman Old Style"/>
                  <w:color w:val="000000" w:themeColor="text1"/>
                  <w:sz w:val="22"/>
                  <w:szCs w:val="22"/>
                  <w:u w:val="single"/>
                </w:rPr>
                <w:t xml:space="preserve"> https://www.rtve.es/play/videos/nodo/not-1089/1469021/</w:t>
              </w:r>
            </w:hyperlink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SANTACANA, Carlos. Imágenes sobre Cataluña en el franquismo: el regionalismo bien entendido en las pantallas. El NO-DO (1960-1975). </w:t>
            </w:r>
            <w:r w:rsidRPr="00D00097">
              <w:rPr>
                <w:rFonts w:ascii="Bookman Old Style" w:eastAsia="Times New Roman" w:hAnsi="Bookman Old Style"/>
                <w:i/>
                <w:color w:val="000000" w:themeColor="text1"/>
                <w:sz w:val="22"/>
                <w:szCs w:val="22"/>
              </w:rPr>
              <w:t xml:space="preserve">Ayer. Revista de Historia Contemporánea, 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vol. 123, n.º 3, 2021, pp. 107-134.</w:t>
            </w:r>
          </w:p>
          <w:p w:rsidR="00D00097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STORM, Eric. El giro espacial en el estudio del nacionalismo y el regionalismo: algunas reflexiones historiográficas. En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 xml:space="preserve">El regionalismo bien entendido: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lastRenderedPageBreak/>
              <w:t>ambigüedades y límites del regionalismo en la España franquista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, coordinado por CLARET, Jaume &amp; FUSTER, Joan. Granada: Comares, 2021, pp. 17-34.</w:t>
            </w:r>
          </w:p>
          <w:p w:rsidR="007241BC" w:rsidRPr="00D00097" w:rsidRDefault="00D00097" w:rsidP="00D00097">
            <w:pPr>
              <w:spacing w:after="60" w:line="240" w:lineRule="auto"/>
              <w:ind w:left="284" w:hanging="284"/>
              <w:jc w:val="both"/>
              <w:rPr>
                <w:rFonts w:ascii="Bookman Old Style" w:hAnsi="Bookman Old Style"/>
                <w:b/>
                <w:sz w:val="22"/>
                <w:szCs w:val="22"/>
              </w:rPr>
            </w:pP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 xml:space="preserve">THIESSE, Anne Marie. </w:t>
            </w:r>
            <w:r w:rsidRPr="00D00097">
              <w:rPr>
                <w:rFonts w:ascii="Bookman Old Style" w:eastAsia="Times New Roman" w:hAnsi="Bookman Old Style"/>
                <w:i/>
                <w:iCs/>
                <w:color w:val="000000" w:themeColor="text1"/>
                <w:sz w:val="22"/>
                <w:szCs w:val="22"/>
              </w:rPr>
              <w:t xml:space="preserve">Ils apprenaient la France: L’exaltation des régions dans le discours patriotique. </w:t>
            </w:r>
            <w:r w:rsidRPr="00D00097">
              <w:rPr>
                <w:rFonts w:ascii="Bookman Old Style" w:eastAsia="Times New Roman" w:hAnsi="Bookman Old Style"/>
                <w:color w:val="000000" w:themeColor="text1"/>
                <w:sz w:val="22"/>
                <w:szCs w:val="22"/>
              </w:rPr>
              <w:t>Paris: Éditions de la Maison des sciences de l’homme, 1997.</w:t>
            </w:r>
          </w:p>
        </w:tc>
        <w:tc>
          <w:tcPr>
            <w:tcW w:w="3119" w:type="dxa"/>
            <w:vMerge/>
          </w:tcPr>
          <w:p w:rsidR="002B3CE8" w:rsidRPr="00D4627B" w:rsidRDefault="002B3CE8" w:rsidP="00B472D5">
            <w:pPr>
              <w:rPr>
                <w:rFonts w:ascii="Bookman Old Style" w:hAnsi="Bookman Old Style"/>
              </w:rPr>
            </w:pPr>
          </w:p>
        </w:tc>
      </w:tr>
      <w:tr w:rsidR="002B3CE8" w:rsidRPr="00D4627B" w:rsidTr="007241BC">
        <w:trPr>
          <w:trHeight w:val="2656"/>
        </w:trPr>
        <w:tc>
          <w:tcPr>
            <w:tcW w:w="6135" w:type="dxa"/>
            <w:vMerge/>
          </w:tcPr>
          <w:p w:rsidR="002B3CE8" w:rsidRPr="00D4627B" w:rsidRDefault="002B3CE8" w:rsidP="00B472D5">
            <w:pPr>
              <w:rPr>
                <w:rFonts w:ascii="Bookman Old Style" w:hAnsi="Bookman Old Style"/>
              </w:rPr>
            </w:pPr>
          </w:p>
        </w:tc>
        <w:tc>
          <w:tcPr>
            <w:tcW w:w="3119" w:type="dxa"/>
          </w:tcPr>
          <w:p w:rsidR="00D4627B" w:rsidRPr="007E62DF" w:rsidRDefault="00D4627B" w:rsidP="00D4627B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</w:pPr>
            <w:r w:rsidRPr="007E62DF"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  <w:t xml:space="preserve">LICENCIA </w:t>
            </w:r>
          </w:p>
          <w:p w:rsidR="00476BC5" w:rsidRDefault="00D4627B" w:rsidP="00D4627B">
            <w:pPr>
              <w:jc w:val="both"/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</w:pP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Derecho</w:t>
            </w:r>
            <w:r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s</w:t>
            </w: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 xml:space="preserve"> de autor 20</w:t>
            </w:r>
            <w:r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25</w:t>
            </w: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 xml:space="preserve">: </w:t>
            </w:r>
            <w:r w:rsidR="0019261F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Zoe Llorente Aucejo</w:t>
            </w:r>
            <w:r w:rsidR="00476BC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 xml:space="preserve"> </w:t>
            </w:r>
          </w:p>
          <w:p w:rsidR="00D4627B" w:rsidRPr="00852D35" w:rsidRDefault="00D4627B" w:rsidP="00D4627B">
            <w:pPr>
              <w:jc w:val="both"/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</w:pPr>
            <w:r>
              <w:rPr>
                <w:rFonts w:ascii="Bookman Old Style" w:hAnsi="Bookman Old Style"/>
                <w:sz w:val="22"/>
                <w:szCs w:val="22"/>
                <w:lang w:val="es-CL"/>
              </w:rPr>
              <w:t>Lo</w:t>
            </w:r>
            <w:r w:rsidRPr="00852D35">
              <w:rPr>
                <w:rFonts w:ascii="Bookman Old Style" w:hAnsi="Bookman Old Style" w:cs="Arial"/>
                <w:sz w:val="21"/>
                <w:szCs w:val="21"/>
                <w:shd w:val="clear" w:color="auto" w:fill="FFFFFF"/>
              </w:rPr>
              <w:t xml:space="preserve">s derechos de edición y primera publicación corresponden a la revista, y su contenido podrá ser utilizado con fines educativos y científicos. Se debe citar </w:t>
            </w:r>
            <w:r w:rsidRPr="00852D35">
              <w:rPr>
                <w:rFonts w:ascii="Bookman Old Style" w:hAnsi="Bookman Old Style" w:cs="Arial"/>
                <w:sz w:val="21"/>
                <w:szCs w:val="21"/>
                <w:shd w:val="clear" w:color="auto" w:fill="FFFFFF"/>
              </w:rPr>
              <w:lastRenderedPageBreak/>
              <w:t>siempre el origen, pudiendo la revista —con independencia del libre uso y difusión de cada original por parte de su autor— publicar el número completo en cualesquiera plataformas de contenidos científicos o culturales que posibiliten una mayor difusión.</w:t>
            </w:r>
          </w:p>
          <w:p w:rsidR="002B3CE8" w:rsidRPr="00D4627B" w:rsidRDefault="00D4627B" w:rsidP="00D4627B">
            <w:pPr>
              <w:rPr>
                <w:rFonts w:ascii="Bookman Old Style" w:hAnsi="Bookman Old Style"/>
              </w:rPr>
            </w:pP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El uso por parte de terceras personas de cualquier trabajo publicado se regula mediante licencia Creative Commons Reconocimiento 4.0 Internacional (atribución-no comercial, CC BY-NC-4.0) </w:t>
            </w:r>
            <w:r w:rsidRPr="00852D35">
              <w:rPr>
                <w:rFonts w:ascii="Bookman Old Style" w:hAnsi="Bookman Old Style" w:cs="Arial"/>
                <w:noProof/>
                <w:sz w:val="22"/>
                <w:szCs w:val="22"/>
                <w:bdr w:val="none" w:sz="0" w:space="0" w:color="auto" w:frame="1"/>
                <w:shd w:val="clear" w:color="auto" w:fill="FFFFFF"/>
                <w:lang w:eastAsia="es-ES"/>
              </w:rPr>
              <w:drawing>
                <wp:inline distT="0" distB="0" distL="0" distR="0" wp14:anchorId="667DDF67" wp14:editId="05F06583">
                  <wp:extent cx="590550" cy="209550"/>
                  <wp:effectExtent l="0" t="0" r="0" b="0"/>
                  <wp:docPr id="1" name="Imagen 1" descr="http://cliocanarias.com/wp-content/uploads/2021/11/cc.png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liocanarias.com/wp-content/uploads/2021/11/cc.png">
                            <a:hlinkClick r:id="rId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52D35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. Es preciso mencionar la autoría y la fuente original de publicación (revista, URL), quedando excluida toda finalidad mercantil.</w:t>
            </w:r>
          </w:p>
        </w:tc>
      </w:tr>
    </w:tbl>
    <w:p w:rsidR="002B3CE8" w:rsidRPr="00D4627B" w:rsidRDefault="002B3CE8">
      <w:pPr>
        <w:rPr>
          <w:rFonts w:ascii="Bookman Old Style" w:hAnsi="Bookman Old Style"/>
        </w:rPr>
      </w:pPr>
    </w:p>
    <w:sectPr w:rsidR="002B3CE8" w:rsidRPr="00D4627B" w:rsidSect="007241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OldStyl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CE8"/>
    <w:rsid w:val="0019261F"/>
    <w:rsid w:val="002B3CE8"/>
    <w:rsid w:val="00476BC5"/>
    <w:rsid w:val="00543B2C"/>
    <w:rsid w:val="005F3A5B"/>
    <w:rsid w:val="006876AE"/>
    <w:rsid w:val="007241BC"/>
    <w:rsid w:val="007C2A68"/>
    <w:rsid w:val="007E1C35"/>
    <w:rsid w:val="00873840"/>
    <w:rsid w:val="009060F9"/>
    <w:rsid w:val="00A82FA5"/>
    <w:rsid w:val="00B054D5"/>
    <w:rsid w:val="00BB395C"/>
    <w:rsid w:val="00BC5177"/>
    <w:rsid w:val="00C06E4B"/>
    <w:rsid w:val="00CD2725"/>
    <w:rsid w:val="00D00097"/>
    <w:rsid w:val="00D4627B"/>
    <w:rsid w:val="00FD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5B764"/>
  <w15:chartTrackingRefBased/>
  <w15:docId w15:val="{A18D5CF8-5B40-4E81-923E-53AD6B3F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C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4627B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</w:rPr>
  </w:style>
  <w:style w:type="character" w:styleId="Hipervnculo">
    <w:name w:val="Hyperlink"/>
    <w:basedOn w:val="Fuentedeprrafopredeter"/>
    <w:uiPriority w:val="99"/>
    <w:unhideWhenUsed/>
    <w:rsid w:val="00D4627B"/>
    <w:rPr>
      <w:color w:val="0563C1" w:themeColor="hyperlink"/>
      <w:u w:val="single"/>
    </w:rPr>
  </w:style>
  <w:style w:type="character" w:customStyle="1" w:styleId="Ninguno">
    <w:name w:val="Ninguno"/>
    <w:qFormat/>
    <w:rsid w:val="007241BC"/>
    <w:rPr>
      <w:lang w:val="es-ES_tradnl"/>
    </w:rPr>
  </w:style>
  <w:style w:type="character" w:styleId="nfasis">
    <w:name w:val="Emphasis"/>
    <w:uiPriority w:val="20"/>
    <w:qFormat/>
    <w:rsid w:val="007241BC"/>
    <w:rPr>
      <w:i/>
      <w:iCs/>
    </w:rPr>
  </w:style>
  <w:style w:type="character" w:customStyle="1" w:styleId="apple-converted-space">
    <w:name w:val="apple-converted-space"/>
    <w:rsid w:val="007241BC"/>
  </w:style>
  <w:style w:type="paragraph" w:styleId="Textonotapie">
    <w:name w:val="footnote text"/>
    <w:basedOn w:val="Normal"/>
    <w:link w:val="TextonotapieCar"/>
    <w:uiPriority w:val="99"/>
    <w:unhideWhenUsed/>
    <w:rsid w:val="00476BC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76BC5"/>
    <w:rPr>
      <w:rFonts w:ascii="Calibri" w:eastAsia="Calibri" w:hAnsi="Calibri" w:cs="Times New Roman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476B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creativecommons.org/licenses/by-nc/4.0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tve.es/play/videos/nodo/not-1089/1469021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orcid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1879</Words>
  <Characters>10336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gonzalez morales</dc:creator>
  <cp:keywords/>
  <dc:description/>
  <cp:lastModifiedBy>andrés gonzalez morales</cp:lastModifiedBy>
  <cp:revision>3</cp:revision>
  <dcterms:created xsi:type="dcterms:W3CDTF">2025-06-26T10:19:00Z</dcterms:created>
  <dcterms:modified xsi:type="dcterms:W3CDTF">2025-07-02T17:01:00Z</dcterms:modified>
</cp:coreProperties>
</file>